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theme/themeOverride1.xml" ContentType="application/vnd.openxmlformats-officedocument.themeOverride+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theme/themeOverride2.xml" ContentType="application/vnd.openxmlformats-officedocument.themeOverride+xml"/>
  <Override PartName="/word/charts/chart6.xml" ContentType="application/vnd.openxmlformats-officedocument.drawingml.chart+xml"/>
  <Override PartName="/word/theme/themeOverride3.xml" ContentType="application/vnd.openxmlformats-officedocument.themeOverride+xml"/>
  <Override PartName="/word/charts/chart7.xml" ContentType="application/vnd.openxmlformats-officedocument.drawingml.chart+xml"/>
  <Override PartName="/word/theme/themeOverride4.xml" ContentType="application/vnd.openxmlformats-officedocument.themeOverride+xml"/>
  <Override PartName="/word/charts/chart8.xml" ContentType="application/vnd.openxmlformats-officedocument.drawingml.chart+xml"/>
  <Override PartName="/word/theme/themeOverride5.xml" ContentType="application/vnd.openxmlformats-officedocument.themeOverride+xml"/>
  <Override PartName="/word/charts/chart9.xml" ContentType="application/vnd.openxmlformats-officedocument.drawingml.chart+xml"/>
  <Override PartName="/word/theme/themeOverride6.xml" ContentType="application/vnd.openxmlformats-officedocument.themeOverride+xml"/>
  <Override PartName="/word/charts/chart10.xml" ContentType="application/vnd.openxmlformats-officedocument.drawingml.chart+xml"/>
  <Override PartName="/word/theme/themeOverride7.xml" ContentType="application/vnd.openxmlformats-officedocument.themeOverride+xml"/>
  <Override PartName="/word/charts/chart11.xml" ContentType="application/vnd.openxmlformats-officedocument.drawingml.chart+xml"/>
  <Override PartName="/word/charts/chart12.xml" ContentType="application/vnd.openxmlformats-officedocument.drawingml.chart+xml"/>
  <Override PartName="/word/theme/themeOverride8.xml" ContentType="application/vnd.openxmlformats-officedocument.themeOverride+xml"/>
  <Override PartName="/word/charts/chart13.xml" ContentType="application/vnd.openxmlformats-officedocument.drawingml.chart+xml"/>
  <Override PartName="/word/charts/chart14.xml" ContentType="application/vnd.openxmlformats-officedocument.drawingml.chart+xml"/>
  <Override PartName="/word/theme/themeOverride9.xml" ContentType="application/vnd.openxmlformats-officedocument.themeOverride+xml"/>
  <Override PartName="/word/charts/chart15.xml" ContentType="application/vnd.openxmlformats-officedocument.drawingml.chart+xml"/>
  <Override PartName="/word/theme/themeOverride10.xml" ContentType="application/vnd.openxmlformats-officedocument.themeOverride+xml"/>
  <Override PartName="/word/charts/chart16.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5000" w:type="pct"/>
        <w:tblLook w:val="04A0" w:firstRow="1" w:lastRow="0" w:firstColumn="1" w:lastColumn="0" w:noHBand="0" w:noVBand="1"/>
      </w:tblPr>
      <w:tblGrid>
        <w:gridCol w:w="6176"/>
        <w:gridCol w:w="3066"/>
      </w:tblGrid>
      <w:tr w:rsidR="00ED6A68" w14:paraId="5DFCA245" w14:textId="77777777" w:rsidTr="0065380E">
        <w:trPr>
          <w:trHeight w:val="557"/>
        </w:trPr>
        <w:tc>
          <w:tcPr>
            <w:tcW w:w="5000" w:type="pct"/>
            <w:gridSpan w:val="2"/>
            <w:vAlign w:val="center"/>
          </w:tcPr>
          <w:p w14:paraId="568596F2" w14:textId="1F125470" w:rsidR="00ED6A68" w:rsidRPr="00D54BA8" w:rsidRDefault="0065380E" w:rsidP="00C462BF">
            <w:pPr>
              <w:rPr>
                <w:b/>
              </w:rPr>
            </w:pPr>
            <w:r w:rsidRPr="00D54BA8">
              <w:rPr>
                <w:b/>
                <w:lang w:eastAsia="fr-FR"/>
              </w:rPr>
              <w:t xml:space="preserve">European Semester </w:t>
            </w:r>
            <w:r w:rsidR="00963B5B" w:rsidRPr="00D54BA8">
              <w:rPr>
                <w:b/>
                <w:lang w:eastAsia="fr-FR"/>
              </w:rPr>
              <w:t>201</w:t>
            </w:r>
            <w:r w:rsidR="00C462BF" w:rsidRPr="00D54BA8">
              <w:rPr>
                <w:b/>
                <w:lang w:eastAsia="fr-FR"/>
              </w:rPr>
              <w:t>8</w:t>
            </w:r>
            <w:r w:rsidRPr="00D54BA8">
              <w:rPr>
                <w:b/>
                <w:lang w:eastAsia="fr-FR"/>
              </w:rPr>
              <w:t>/</w:t>
            </w:r>
            <w:r w:rsidR="00963B5B" w:rsidRPr="00D54BA8">
              <w:rPr>
                <w:b/>
                <w:lang w:eastAsia="fr-FR"/>
              </w:rPr>
              <w:t>201</w:t>
            </w:r>
            <w:r w:rsidR="00C462BF" w:rsidRPr="00D54BA8">
              <w:rPr>
                <w:b/>
                <w:lang w:eastAsia="fr-FR"/>
              </w:rPr>
              <w:t>9</w:t>
            </w:r>
            <w:r w:rsidRPr="00D54BA8">
              <w:rPr>
                <w:b/>
                <w:lang w:eastAsia="fr-FR"/>
              </w:rPr>
              <w:t xml:space="preserve"> country fiche on disability</w:t>
            </w:r>
          </w:p>
        </w:tc>
      </w:tr>
      <w:tr w:rsidR="00ED6A68" w14:paraId="774E29C3" w14:textId="77777777" w:rsidTr="00ED6A68">
        <w:trPr>
          <w:trHeight w:val="557"/>
        </w:trPr>
        <w:tc>
          <w:tcPr>
            <w:tcW w:w="3341" w:type="pct"/>
          </w:tcPr>
          <w:p w14:paraId="108591F0" w14:textId="09FC387D" w:rsidR="00ED6A68" w:rsidRPr="00D54BA8" w:rsidRDefault="00D63B6C" w:rsidP="00B42A03">
            <w:pPr>
              <w:rPr>
                <w:b/>
              </w:rPr>
            </w:pPr>
            <w:r w:rsidRPr="00D54BA8">
              <w:rPr>
                <w:b/>
              </w:rPr>
              <w:t>Malta</w:t>
            </w:r>
          </w:p>
        </w:tc>
        <w:tc>
          <w:tcPr>
            <w:tcW w:w="1659" w:type="pct"/>
            <w:vMerge w:val="restart"/>
            <w:vAlign w:val="center"/>
          </w:tcPr>
          <w:p w14:paraId="6F3C4C75" w14:textId="2BE412B5" w:rsidR="00ED6A68" w:rsidRDefault="00D54BA8" w:rsidP="00B42A03">
            <w:pPr>
              <w:jc w:val="center"/>
            </w:pPr>
            <w:r w:rsidRPr="00003EC0">
              <w:rPr>
                <w:noProof/>
                <w:color w:val="000000"/>
                <w:lang w:eastAsia="en-GB"/>
              </w:rPr>
              <w:drawing>
                <wp:inline distT="0" distB="0" distL="0" distR="0" wp14:anchorId="67AE6E50" wp14:editId="29CAD49F">
                  <wp:extent cx="1767600" cy="1713600"/>
                  <wp:effectExtent l="0" t="0" r="4445" b="1270"/>
                  <wp:docPr id="44"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preferRelativeResize="0">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67600" cy="1713600"/>
                          </a:xfrm>
                          <a:prstGeom prst="rect">
                            <a:avLst/>
                          </a:prstGeom>
                          <a:noFill/>
                          <a:ln>
                            <a:noFill/>
                          </a:ln>
                        </pic:spPr>
                      </pic:pic>
                    </a:graphicData>
                  </a:graphic>
                </wp:inline>
              </w:drawing>
            </w:r>
          </w:p>
        </w:tc>
      </w:tr>
      <w:tr w:rsidR="00ED6A68" w14:paraId="3FE31403" w14:textId="77777777" w:rsidTr="00ED6A68">
        <w:trPr>
          <w:trHeight w:val="1274"/>
        </w:trPr>
        <w:tc>
          <w:tcPr>
            <w:tcW w:w="3341" w:type="pct"/>
          </w:tcPr>
          <w:p w14:paraId="0CA50CD0" w14:textId="74D33A6D" w:rsidR="00ED6A68" w:rsidRDefault="00ED6A68" w:rsidP="00B42A03">
            <w:r>
              <w:t xml:space="preserve">Report prepared by: </w:t>
            </w:r>
          </w:p>
          <w:p w14:paraId="51D955DE" w14:textId="77777777" w:rsidR="00ED6A68" w:rsidRDefault="00007DA8" w:rsidP="00B42A03">
            <w:r>
              <w:t>Lara Bezzina</w:t>
            </w:r>
          </w:p>
          <w:p w14:paraId="19BFF97F" w14:textId="77777777" w:rsidR="008047E3" w:rsidRDefault="008047E3" w:rsidP="00B42A03">
            <w:r>
              <w:t>Amy Camilleri Zahra</w:t>
            </w:r>
          </w:p>
          <w:p w14:paraId="389BFF88" w14:textId="667557C3" w:rsidR="008047E3" w:rsidRPr="00007DA8" w:rsidRDefault="008047E3" w:rsidP="00B42A03">
            <w:r>
              <w:t>Vickie Gauci</w:t>
            </w:r>
          </w:p>
        </w:tc>
        <w:tc>
          <w:tcPr>
            <w:tcW w:w="1659" w:type="pct"/>
            <w:vMerge/>
          </w:tcPr>
          <w:p w14:paraId="53A6C512" w14:textId="77777777" w:rsidR="00ED6A68" w:rsidRDefault="00ED6A68" w:rsidP="00B42A03">
            <w:pPr>
              <w:jc w:val="center"/>
              <w:rPr>
                <w:rFonts w:ascii="Tahoma" w:hAnsi="Tahoma" w:cs="Tahoma"/>
                <w:noProof/>
                <w:color w:val="000000"/>
                <w:sz w:val="18"/>
                <w:szCs w:val="18"/>
                <w:lang w:eastAsia="en-GB"/>
              </w:rPr>
            </w:pPr>
          </w:p>
        </w:tc>
      </w:tr>
      <w:tr w:rsidR="00ED6A68" w14:paraId="2B406D27" w14:textId="77777777" w:rsidTr="00ED6A68">
        <w:trPr>
          <w:trHeight w:val="940"/>
        </w:trPr>
        <w:tc>
          <w:tcPr>
            <w:tcW w:w="3341" w:type="pct"/>
          </w:tcPr>
          <w:p w14:paraId="05839414" w14:textId="77777777" w:rsidR="00ED6A68" w:rsidRDefault="00ED6A68" w:rsidP="00B42A03">
            <w:r>
              <w:t>With comparative data provided by the ANED core team</w:t>
            </w:r>
          </w:p>
        </w:tc>
        <w:tc>
          <w:tcPr>
            <w:tcW w:w="1659" w:type="pct"/>
            <w:vMerge/>
          </w:tcPr>
          <w:p w14:paraId="23D486B4" w14:textId="77777777" w:rsidR="00ED6A68" w:rsidRDefault="00ED6A68" w:rsidP="00B42A03">
            <w:pPr>
              <w:jc w:val="center"/>
              <w:rPr>
                <w:rFonts w:ascii="Tahoma" w:hAnsi="Tahoma" w:cs="Tahoma"/>
                <w:noProof/>
                <w:color w:val="000000"/>
                <w:sz w:val="18"/>
                <w:szCs w:val="18"/>
                <w:lang w:eastAsia="en-GB"/>
              </w:rPr>
            </w:pPr>
          </w:p>
        </w:tc>
      </w:tr>
    </w:tbl>
    <w:p w14:paraId="12C451DF" w14:textId="77777777" w:rsidR="00ED6A68" w:rsidRDefault="00ED6A68" w:rsidP="00AF323E"/>
    <w:p w14:paraId="74653772" w14:textId="3180AA70" w:rsidR="00AF323E" w:rsidRPr="00891791" w:rsidRDefault="00AF323E" w:rsidP="00895667">
      <w:pPr>
        <w:pStyle w:val="BodyText"/>
        <w:spacing w:after="0"/>
        <w:jc w:val="both"/>
        <w:rPr>
          <w:lang w:eastAsia="en-GB"/>
        </w:rPr>
      </w:pPr>
      <w:r w:rsidRPr="00891791">
        <w:t xml:space="preserve">The </w:t>
      </w:r>
      <w:hyperlink r:id="rId9" w:history="1">
        <w:r w:rsidRPr="00891791">
          <w:rPr>
            <w:rStyle w:val="Hyperlink"/>
          </w:rPr>
          <w:t>Academic Network of European Disability experts</w:t>
        </w:r>
      </w:hyperlink>
      <w:r w:rsidRPr="00891791">
        <w:t xml:space="preserve"> (ANED) was established by the European Commission in 2008 to provide scientific support and advice for its disability policy Unit. </w:t>
      </w:r>
      <w:proofErr w:type="gramStart"/>
      <w:r w:rsidRPr="00891791">
        <w:t>In particular, the</w:t>
      </w:r>
      <w:proofErr w:type="gramEnd"/>
      <w:r w:rsidRPr="00891791">
        <w:t xml:space="preserve"> activities of the Network support the development of the </w:t>
      </w:r>
      <w:r w:rsidR="00534975">
        <w:t>European Disability Strategy</w:t>
      </w:r>
      <w:r w:rsidRPr="00891791">
        <w:t xml:space="preserve"> </w:t>
      </w:r>
      <w:r w:rsidR="00534975">
        <w:t xml:space="preserve">2010-2020 </w:t>
      </w:r>
      <w:r w:rsidRPr="00891791">
        <w:t xml:space="preserve">and implementation of the United Nations Convention on </w:t>
      </w:r>
      <w:r w:rsidR="00895667">
        <w:t xml:space="preserve">the Rights of Persons with Disabilities </w:t>
      </w:r>
      <w:r w:rsidR="00534975">
        <w:t>in the EU</w:t>
      </w:r>
      <w:r w:rsidRPr="00891791">
        <w:t>.</w:t>
      </w:r>
    </w:p>
    <w:p w14:paraId="22191334" w14:textId="77777777" w:rsidR="00895667" w:rsidRDefault="00895667" w:rsidP="00895667">
      <w:pPr>
        <w:pStyle w:val="BodyText"/>
        <w:spacing w:after="0"/>
        <w:jc w:val="both"/>
      </w:pPr>
    </w:p>
    <w:p w14:paraId="11299BD3" w14:textId="05A4E605" w:rsidR="00AF323E" w:rsidRPr="00891791" w:rsidRDefault="00AF323E" w:rsidP="00895667">
      <w:pPr>
        <w:pStyle w:val="BodyText"/>
        <w:spacing w:after="0"/>
        <w:jc w:val="both"/>
      </w:pPr>
      <w:r w:rsidRPr="00891791">
        <w:t xml:space="preserve">This country report </w:t>
      </w:r>
      <w:r w:rsidR="003E601D">
        <w:t xml:space="preserve">and statistical annex have </w:t>
      </w:r>
      <w:r w:rsidRPr="00891791">
        <w:t xml:space="preserve">been prepared as input for the </w:t>
      </w:r>
      <w:r w:rsidR="00534975">
        <w:t>E</w:t>
      </w:r>
      <w:r w:rsidR="00526839">
        <w:t>uropean Semester</w:t>
      </w:r>
      <w:r w:rsidR="00C75AFD">
        <w:t xml:space="preserve"> from a disability perspective</w:t>
      </w:r>
      <w:r w:rsidRPr="00891791">
        <w:t xml:space="preserve">. </w:t>
      </w:r>
    </w:p>
    <w:p w14:paraId="2A447067" w14:textId="77777777" w:rsidR="0065380E" w:rsidRDefault="0065380E" w:rsidP="00AF323E"/>
    <w:p w14:paraId="1792EBB3" w14:textId="77777777" w:rsidR="0065380E" w:rsidRDefault="0065380E" w:rsidP="00AF323E"/>
    <w:p w14:paraId="420351C5" w14:textId="77777777" w:rsidR="0065380E" w:rsidRDefault="0065380E" w:rsidP="00AF323E"/>
    <w:p w14:paraId="7BCE6EC2" w14:textId="76E1A064" w:rsidR="003E7EC1" w:rsidRDefault="00895667" w:rsidP="00895667">
      <w:pPr>
        <w:ind w:firstLine="720"/>
        <w:jc w:val="right"/>
      </w:pPr>
      <w:r w:rsidRPr="000D23C1">
        <w:rPr>
          <w:noProof/>
          <w:lang w:eastAsia="zh-CN"/>
        </w:rPr>
        <w:drawing>
          <wp:anchor distT="0" distB="0" distL="114300" distR="114300" simplePos="0" relativeHeight="251659264" behindDoc="0" locked="0" layoutInCell="1" allowOverlap="1" wp14:anchorId="48D31CC2" wp14:editId="7486D016">
            <wp:simplePos x="0" y="0"/>
            <wp:positionH relativeFrom="column">
              <wp:posOffset>-161925</wp:posOffset>
            </wp:positionH>
            <wp:positionV relativeFrom="paragraph">
              <wp:posOffset>304165</wp:posOffset>
            </wp:positionV>
            <wp:extent cx="910590" cy="514350"/>
            <wp:effectExtent l="0" t="0" r="381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 2017.jpg"/>
                    <pic:cNvPicPr/>
                  </pic:nvPicPr>
                  <pic:blipFill>
                    <a:blip r:embed="rId10"/>
                    <a:stretch>
                      <a:fillRect/>
                    </a:stretch>
                  </pic:blipFill>
                  <pic:spPr>
                    <a:xfrm>
                      <a:off x="0" y="0"/>
                      <a:ext cx="910590" cy="514350"/>
                    </a:xfrm>
                    <a:prstGeom prst="rect">
                      <a:avLst/>
                    </a:prstGeom>
                  </pic:spPr>
                </pic:pic>
              </a:graphicData>
            </a:graphic>
          </wp:anchor>
        </w:drawing>
      </w:r>
      <w:r w:rsidR="0065380E">
        <w:t xml:space="preserve"> </w:t>
      </w:r>
      <w:r w:rsidR="0065380E">
        <w:tab/>
      </w:r>
      <w:r w:rsidR="0065380E">
        <w:tab/>
      </w:r>
      <w:r w:rsidR="0065380E">
        <w:tab/>
      </w:r>
      <w:r w:rsidR="0065380E">
        <w:tab/>
      </w:r>
      <w:r w:rsidR="0065380E">
        <w:tab/>
      </w:r>
      <w:r w:rsidR="0065380E">
        <w:tab/>
      </w:r>
      <w:r w:rsidR="0065380E">
        <w:tab/>
        <w:t xml:space="preserve"> </w:t>
      </w:r>
      <w:r w:rsidR="0065380E">
        <w:rPr>
          <w:noProof/>
          <w:lang w:eastAsia="zh-CN"/>
        </w:rPr>
        <w:drawing>
          <wp:inline distT="0" distB="0" distL="0" distR="0" wp14:anchorId="5CD1C155" wp14:editId="7C0D7E31">
            <wp:extent cx="1429200" cy="601200"/>
            <wp:effectExtent l="0" t="0" r="0" b="889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eeds.jpg"/>
                    <pic:cNvPicPr/>
                  </pic:nvPicPr>
                  <pic:blipFill>
                    <a:blip r:embed="rId11">
                      <a:extLst>
                        <a:ext uri="{28A0092B-C50C-407E-A947-70E740481C1C}">
                          <a14:useLocalDpi xmlns:a14="http://schemas.microsoft.com/office/drawing/2010/main" val="0"/>
                        </a:ext>
                      </a:extLst>
                    </a:blip>
                    <a:stretch>
                      <a:fillRect/>
                    </a:stretch>
                  </pic:blipFill>
                  <pic:spPr>
                    <a:xfrm>
                      <a:off x="0" y="0"/>
                      <a:ext cx="1429200" cy="601200"/>
                    </a:xfrm>
                    <a:prstGeom prst="rect">
                      <a:avLst/>
                    </a:prstGeom>
                  </pic:spPr>
                </pic:pic>
              </a:graphicData>
            </a:graphic>
          </wp:inline>
        </w:drawing>
      </w:r>
    </w:p>
    <w:p w14:paraId="78030045" w14:textId="77777777" w:rsidR="003E7EC1" w:rsidRDefault="003E7EC1">
      <w:pPr>
        <w:spacing w:after="200" w:line="276" w:lineRule="auto"/>
      </w:pPr>
      <w:r>
        <w:br w:type="page"/>
      </w:r>
    </w:p>
    <w:p w14:paraId="6575AA43" w14:textId="285E66D4" w:rsidR="003E7EC1" w:rsidRPr="00895667" w:rsidRDefault="00895667" w:rsidP="00895667">
      <w:pPr>
        <w:rPr>
          <w:b/>
        </w:rPr>
      </w:pPr>
      <w:r w:rsidRPr="00895667">
        <w:rPr>
          <w:b/>
        </w:rPr>
        <w:lastRenderedPageBreak/>
        <w:t>Contents</w:t>
      </w:r>
    </w:p>
    <w:sdt>
      <w:sdtPr>
        <w:id w:val="284630848"/>
        <w:docPartObj>
          <w:docPartGallery w:val="Table of Contents"/>
          <w:docPartUnique/>
        </w:docPartObj>
      </w:sdtPr>
      <w:sdtEndPr>
        <w:rPr>
          <w:b/>
          <w:bCs/>
          <w:noProof/>
        </w:rPr>
      </w:sdtEndPr>
      <w:sdtContent>
        <w:p w14:paraId="7BD3F9A0" w14:textId="2867D584" w:rsidR="00A14F67" w:rsidRPr="006B403C" w:rsidRDefault="00A14F67" w:rsidP="003E7EC1"/>
        <w:p w14:paraId="060C16E1" w14:textId="043D3E49" w:rsidR="002C6495" w:rsidRDefault="00A14F67" w:rsidP="002C6495">
          <w:pPr>
            <w:pStyle w:val="TOC1"/>
            <w:rPr>
              <w:rFonts w:asciiTheme="minorHAnsi" w:eastAsiaTheme="minorEastAsia" w:hAnsiTheme="minorHAnsi" w:cstheme="minorBidi"/>
              <w:noProof/>
              <w:sz w:val="22"/>
              <w:szCs w:val="22"/>
              <w:lang w:val="nl-NL" w:eastAsia="nl-NL"/>
            </w:rPr>
          </w:pPr>
          <w:r>
            <w:fldChar w:fldCharType="begin"/>
          </w:r>
          <w:r>
            <w:instrText xml:space="preserve"> TOC \o "1-3" \h \z \u </w:instrText>
          </w:r>
          <w:r>
            <w:fldChar w:fldCharType="separate"/>
          </w:r>
          <w:hyperlink w:anchor="_Toc2697712" w:history="1">
            <w:r w:rsidR="002C6495" w:rsidRPr="006D5248">
              <w:rPr>
                <w:rStyle w:val="Hyperlink"/>
                <w:noProof/>
              </w:rPr>
              <w:t>1</w:t>
            </w:r>
            <w:r w:rsidR="002C6495">
              <w:rPr>
                <w:rFonts w:asciiTheme="minorHAnsi" w:eastAsiaTheme="minorEastAsia" w:hAnsiTheme="minorHAnsi" w:cstheme="minorBidi"/>
                <w:noProof/>
                <w:sz w:val="22"/>
                <w:szCs w:val="22"/>
                <w:lang w:val="nl-NL" w:eastAsia="nl-NL"/>
              </w:rPr>
              <w:tab/>
            </w:r>
            <w:r w:rsidR="002C6495" w:rsidRPr="006D5248">
              <w:rPr>
                <w:rStyle w:val="Hyperlink"/>
                <w:noProof/>
              </w:rPr>
              <w:t>Summary and recommendations</w:t>
            </w:r>
            <w:r w:rsidR="002C6495">
              <w:rPr>
                <w:noProof/>
                <w:webHidden/>
              </w:rPr>
              <w:tab/>
            </w:r>
            <w:r w:rsidR="002C6495">
              <w:rPr>
                <w:noProof/>
                <w:webHidden/>
              </w:rPr>
              <w:fldChar w:fldCharType="begin"/>
            </w:r>
            <w:r w:rsidR="002C6495">
              <w:rPr>
                <w:noProof/>
                <w:webHidden/>
              </w:rPr>
              <w:instrText xml:space="preserve"> PAGEREF _Toc2697712 \h </w:instrText>
            </w:r>
            <w:r w:rsidR="002C6495">
              <w:rPr>
                <w:noProof/>
                <w:webHidden/>
              </w:rPr>
            </w:r>
            <w:r w:rsidR="002C6495">
              <w:rPr>
                <w:noProof/>
                <w:webHidden/>
              </w:rPr>
              <w:fldChar w:fldCharType="separate"/>
            </w:r>
            <w:r w:rsidR="002C6495">
              <w:rPr>
                <w:noProof/>
                <w:webHidden/>
              </w:rPr>
              <w:t>2</w:t>
            </w:r>
            <w:r w:rsidR="002C6495">
              <w:rPr>
                <w:noProof/>
                <w:webHidden/>
              </w:rPr>
              <w:fldChar w:fldCharType="end"/>
            </w:r>
          </w:hyperlink>
        </w:p>
        <w:p w14:paraId="18D66D7D" w14:textId="3814DAB8" w:rsidR="002C6495" w:rsidRDefault="002C6495">
          <w:pPr>
            <w:pStyle w:val="TOC2"/>
            <w:tabs>
              <w:tab w:val="left" w:pos="880"/>
              <w:tab w:val="right" w:leader="dot" w:pos="9016"/>
            </w:tabs>
            <w:rPr>
              <w:rFonts w:asciiTheme="minorHAnsi" w:eastAsiaTheme="minorEastAsia" w:hAnsiTheme="minorHAnsi" w:cstheme="minorBidi"/>
              <w:noProof/>
              <w:sz w:val="22"/>
              <w:szCs w:val="22"/>
              <w:lang w:val="nl-NL" w:eastAsia="nl-NL"/>
            </w:rPr>
          </w:pPr>
          <w:hyperlink w:anchor="_Toc2697713" w:history="1">
            <w:r w:rsidRPr="006D5248">
              <w:rPr>
                <w:rStyle w:val="Hyperlink"/>
                <w:noProof/>
              </w:rPr>
              <w:t>1.1</w:t>
            </w:r>
            <w:r>
              <w:rPr>
                <w:rFonts w:asciiTheme="minorHAnsi" w:eastAsiaTheme="minorEastAsia" w:hAnsiTheme="minorHAnsi" w:cstheme="minorBidi"/>
                <w:noProof/>
                <w:sz w:val="22"/>
                <w:szCs w:val="22"/>
                <w:lang w:val="nl-NL" w:eastAsia="nl-NL"/>
              </w:rPr>
              <w:tab/>
            </w:r>
            <w:r w:rsidRPr="006D5248">
              <w:rPr>
                <w:rStyle w:val="Hyperlink"/>
                <w:noProof/>
              </w:rPr>
              <w:t>Key features of the disability situation and challenges in 2018-19</w:t>
            </w:r>
            <w:r>
              <w:rPr>
                <w:noProof/>
                <w:webHidden/>
              </w:rPr>
              <w:tab/>
            </w:r>
            <w:r>
              <w:rPr>
                <w:noProof/>
                <w:webHidden/>
              </w:rPr>
              <w:fldChar w:fldCharType="begin"/>
            </w:r>
            <w:r>
              <w:rPr>
                <w:noProof/>
                <w:webHidden/>
              </w:rPr>
              <w:instrText xml:space="preserve"> PAGEREF _Toc2697713 \h </w:instrText>
            </w:r>
            <w:r>
              <w:rPr>
                <w:noProof/>
                <w:webHidden/>
              </w:rPr>
            </w:r>
            <w:r>
              <w:rPr>
                <w:noProof/>
                <w:webHidden/>
              </w:rPr>
              <w:fldChar w:fldCharType="separate"/>
            </w:r>
            <w:r>
              <w:rPr>
                <w:noProof/>
                <w:webHidden/>
              </w:rPr>
              <w:t>2</w:t>
            </w:r>
            <w:r>
              <w:rPr>
                <w:noProof/>
                <w:webHidden/>
              </w:rPr>
              <w:fldChar w:fldCharType="end"/>
            </w:r>
          </w:hyperlink>
        </w:p>
        <w:p w14:paraId="75330D47" w14:textId="6046FF46" w:rsidR="002C6495" w:rsidRDefault="002C6495">
          <w:pPr>
            <w:pStyle w:val="TOC2"/>
            <w:tabs>
              <w:tab w:val="left" w:pos="880"/>
              <w:tab w:val="right" w:leader="dot" w:pos="9016"/>
            </w:tabs>
            <w:rPr>
              <w:rFonts w:asciiTheme="minorHAnsi" w:eastAsiaTheme="minorEastAsia" w:hAnsiTheme="minorHAnsi" w:cstheme="minorBidi"/>
              <w:noProof/>
              <w:sz w:val="22"/>
              <w:szCs w:val="22"/>
              <w:lang w:val="nl-NL" w:eastAsia="nl-NL"/>
            </w:rPr>
          </w:pPr>
          <w:hyperlink w:anchor="_Toc2697714" w:history="1">
            <w:r w:rsidRPr="006D5248">
              <w:rPr>
                <w:rStyle w:val="Hyperlink"/>
                <w:noProof/>
              </w:rPr>
              <w:t>1.2</w:t>
            </w:r>
            <w:r>
              <w:rPr>
                <w:rFonts w:asciiTheme="minorHAnsi" w:eastAsiaTheme="minorEastAsia" w:hAnsiTheme="minorHAnsi" w:cstheme="minorBidi"/>
                <w:noProof/>
                <w:sz w:val="22"/>
                <w:szCs w:val="22"/>
                <w:lang w:val="nl-NL" w:eastAsia="nl-NL"/>
              </w:rPr>
              <w:tab/>
            </w:r>
            <w:r w:rsidRPr="006D5248">
              <w:rPr>
                <w:rStyle w:val="Hyperlink"/>
                <w:noProof/>
              </w:rPr>
              <w:t>Recommendations</w:t>
            </w:r>
            <w:r>
              <w:rPr>
                <w:noProof/>
                <w:webHidden/>
              </w:rPr>
              <w:tab/>
            </w:r>
            <w:r>
              <w:rPr>
                <w:noProof/>
                <w:webHidden/>
              </w:rPr>
              <w:fldChar w:fldCharType="begin"/>
            </w:r>
            <w:r>
              <w:rPr>
                <w:noProof/>
                <w:webHidden/>
              </w:rPr>
              <w:instrText xml:space="preserve"> PAGEREF _Toc2697714 \h </w:instrText>
            </w:r>
            <w:r>
              <w:rPr>
                <w:noProof/>
                <w:webHidden/>
              </w:rPr>
            </w:r>
            <w:r>
              <w:rPr>
                <w:noProof/>
                <w:webHidden/>
              </w:rPr>
              <w:fldChar w:fldCharType="separate"/>
            </w:r>
            <w:r>
              <w:rPr>
                <w:noProof/>
                <w:webHidden/>
              </w:rPr>
              <w:t>3</w:t>
            </w:r>
            <w:r>
              <w:rPr>
                <w:noProof/>
                <w:webHidden/>
              </w:rPr>
              <w:fldChar w:fldCharType="end"/>
            </w:r>
          </w:hyperlink>
        </w:p>
        <w:p w14:paraId="429157D3" w14:textId="1E6AC9FB" w:rsidR="002C6495" w:rsidRDefault="002C6495">
          <w:pPr>
            <w:pStyle w:val="TOC2"/>
            <w:tabs>
              <w:tab w:val="left" w:pos="880"/>
              <w:tab w:val="right" w:leader="dot" w:pos="9016"/>
            </w:tabs>
            <w:rPr>
              <w:rFonts w:asciiTheme="minorHAnsi" w:eastAsiaTheme="minorEastAsia" w:hAnsiTheme="minorHAnsi" w:cstheme="minorBidi"/>
              <w:noProof/>
              <w:sz w:val="22"/>
              <w:szCs w:val="22"/>
              <w:lang w:val="nl-NL" w:eastAsia="nl-NL"/>
            </w:rPr>
          </w:pPr>
          <w:hyperlink w:anchor="_Toc2697715" w:history="1">
            <w:r w:rsidRPr="006D5248">
              <w:rPr>
                <w:rStyle w:val="Hyperlink"/>
                <w:noProof/>
              </w:rPr>
              <w:t>1.3</w:t>
            </w:r>
            <w:r>
              <w:rPr>
                <w:rFonts w:asciiTheme="minorHAnsi" w:eastAsiaTheme="minorEastAsia" w:hAnsiTheme="minorHAnsi" w:cstheme="minorBidi"/>
                <w:noProof/>
                <w:sz w:val="22"/>
                <w:szCs w:val="22"/>
                <w:lang w:val="nl-NL" w:eastAsia="nl-NL"/>
              </w:rPr>
              <w:tab/>
            </w:r>
            <w:r w:rsidRPr="006D5248">
              <w:rPr>
                <w:rStyle w:val="Hyperlink"/>
                <w:noProof/>
              </w:rPr>
              <w:t>The EU2020 targets in relation to disability strategy and rights</w:t>
            </w:r>
            <w:r>
              <w:rPr>
                <w:noProof/>
                <w:webHidden/>
              </w:rPr>
              <w:tab/>
            </w:r>
            <w:r>
              <w:rPr>
                <w:noProof/>
                <w:webHidden/>
              </w:rPr>
              <w:fldChar w:fldCharType="begin"/>
            </w:r>
            <w:r>
              <w:rPr>
                <w:noProof/>
                <w:webHidden/>
              </w:rPr>
              <w:instrText xml:space="preserve"> PAGEREF _Toc2697715 \h </w:instrText>
            </w:r>
            <w:r>
              <w:rPr>
                <w:noProof/>
                <w:webHidden/>
              </w:rPr>
            </w:r>
            <w:r>
              <w:rPr>
                <w:noProof/>
                <w:webHidden/>
              </w:rPr>
              <w:fldChar w:fldCharType="separate"/>
            </w:r>
            <w:r>
              <w:rPr>
                <w:noProof/>
                <w:webHidden/>
              </w:rPr>
              <w:t>4</w:t>
            </w:r>
            <w:r>
              <w:rPr>
                <w:noProof/>
                <w:webHidden/>
              </w:rPr>
              <w:fldChar w:fldCharType="end"/>
            </w:r>
          </w:hyperlink>
        </w:p>
        <w:p w14:paraId="5CE31D61" w14:textId="0B484BD9" w:rsidR="002C6495" w:rsidRDefault="002C6495">
          <w:pPr>
            <w:pStyle w:val="TOC3"/>
            <w:tabs>
              <w:tab w:val="left" w:pos="1320"/>
              <w:tab w:val="right" w:leader="dot" w:pos="9016"/>
            </w:tabs>
            <w:rPr>
              <w:rFonts w:asciiTheme="minorHAnsi" w:eastAsiaTheme="minorEastAsia" w:hAnsiTheme="minorHAnsi" w:cstheme="minorBidi"/>
              <w:noProof/>
              <w:sz w:val="22"/>
              <w:szCs w:val="22"/>
              <w:lang w:val="nl-NL" w:eastAsia="nl-NL"/>
            </w:rPr>
          </w:pPr>
          <w:hyperlink w:anchor="_Toc2697716" w:history="1">
            <w:r w:rsidRPr="006D5248">
              <w:rPr>
                <w:rStyle w:val="Hyperlink"/>
                <w:noProof/>
              </w:rPr>
              <w:t>1.3.1</w:t>
            </w:r>
            <w:r>
              <w:rPr>
                <w:rFonts w:asciiTheme="minorHAnsi" w:eastAsiaTheme="minorEastAsia" w:hAnsiTheme="minorHAnsi" w:cstheme="minorBidi"/>
                <w:noProof/>
                <w:sz w:val="22"/>
                <w:szCs w:val="22"/>
                <w:lang w:val="nl-NL" w:eastAsia="nl-NL"/>
              </w:rPr>
              <w:tab/>
            </w:r>
            <w:r w:rsidRPr="006D5248">
              <w:rPr>
                <w:rStyle w:val="Hyperlink"/>
                <w:noProof/>
              </w:rPr>
              <w:t>Recommendations from the UN CRPD Committee relevant to EU2020</w:t>
            </w:r>
            <w:r>
              <w:rPr>
                <w:noProof/>
                <w:webHidden/>
              </w:rPr>
              <w:tab/>
            </w:r>
            <w:r>
              <w:rPr>
                <w:noProof/>
                <w:webHidden/>
              </w:rPr>
              <w:fldChar w:fldCharType="begin"/>
            </w:r>
            <w:r>
              <w:rPr>
                <w:noProof/>
                <w:webHidden/>
              </w:rPr>
              <w:instrText xml:space="preserve"> PAGEREF _Toc2697716 \h </w:instrText>
            </w:r>
            <w:r>
              <w:rPr>
                <w:noProof/>
                <w:webHidden/>
              </w:rPr>
            </w:r>
            <w:r>
              <w:rPr>
                <w:noProof/>
                <w:webHidden/>
              </w:rPr>
              <w:fldChar w:fldCharType="separate"/>
            </w:r>
            <w:r>
              <w:rPr>
                <w:noProof/>
                <w:webHidden/>
              </w:rPr>
              <w:t>5</w:t>
            </w:r>
            <w:r>
              <w:rPr>
                <w:noProof/>
                <w:webHidden/>
              </w:rPr>
              <w:fldChar w:fldCharType="end"/>
            </w:r>
          </w:hyperlink>
        </w:p>
        <w:p w14:paraId="0FEB0961" w14:textId="203D84D2" w:rsidR="002C6495" w:rsidRDefault="002C6495">
          <w:pPr>
            <w:pStyle w:val="TOC3"/>
            <w:tabs>
              <w:tab w:val="left" w:pos="1320"/>
              <w:tab w:val="right" w:leader="dot" w:pos="9016"/>
            </w:tabs>
            <w:rPr>
              <w:rFonts w:asciiTheme="minorHAnsi" w:eastAsiaTheme="minorEastAsia" w:hAnsiTheme="minorHAnsi" w:cstheme="minorBidi"/>
              <w:noProof/>
              <w:sz w:val="22"/>
              <w:szCs w:val="22"/>
              <w:lang w:val="nl-NL" w:eastAsia="nl-NL"/>
            </w:rPr>
          </w:pPr>
          <w:hyperlink w:anchor="_Toc2697717" w:history="1">
            <w:r w:rsidRPr="006D5248">
              <w:rPr>
                <w:rStyle w:val="Hyperlink"/>
                <w:noProof/>
              </w:rPr>
              <w:t>1.3.2</w:t>
            </w:r>
            <w:r>
              <w:rPr>
                <w:rFonts w:asciiTheme="minorHAnsi" w:eastAsiaTheme="minorEastAsia" w:hAnsiTheme="minorHAnsi" w:cstheme="minorBidi"/>
                <w:noProof/>
                <w:sz w:val="22"/>
                <w:szCs w:val="22"/>
                <w:lang w:val="nl-NL" w:eastAsia="nl-NL"/>
              </w:rPr>
              <w:tab/>
            </w:r>
            <w:r w:rsidRPr="006D5248">
              <w:rPr>
                <w:rStyle w:val="Hyperlink"/>
                <w:noProof/>
              </w:rPr>
              <w:t>National disability strategies, plans and targets relevant to EU2020</w:t>
            </w:r>
            <w:r>
              <w:rPr>
                <w:noProof/>
                <w:webHidden/>
              </w:rPr>
              <w:tab/>
            </w:r>
            <w:r>
              <w:rPr>
                <w:noProof/>
                <w:webHidden/>
              </w:rPr>
              <w:fldChar w:fldCharType="begin"/>
            </w:r>
            <w:r>
              <w:rPr>
                <w:noProof/>
                <w:webHidden/>
              </w:rPr>
              <w:instrText xml:space="preserve"> PAGEREF _Toc2697717 \h </w:instrText>
            </w:r>
            <w:r>
              <w:rPr>
                <w:noProof/>
                <w:webHidden/>
              </w:rPr>
            </w:r>
            <w:r>
              <w:rPr>
                <w:noProof/>
                <w:webHidden/>
              </w:rPr>
              <w:fldChar w:fldCharType="separate"/>
            </w:r>
            <w:r>
              <w:rPr>
                <w:noProof/>
                <w:webHidden/>
              </w:rPr>
              <w:t>7</w:t>
            </w:r>
            <w:r>
              <w:rPr>
                <w:noProof/>
                <w:webHidden/>
              </w:rPr>
              <w:fldChar w:fldCharType="end"/>
            </w:r>
          </w:hyperlink>
        </w:p>
        <w:p w14:paraId="46D37A5F" w14:textId="7F7CB559" w:rsidR="002C6495" w:rsidRDefault="002C6495" w:rsidP="002C6495">
          <w:pPr>
            <w:pStyle w:val="TOC1"/>
            <w:rPr>
              <w:rFonts w:asciiTheme="minorHAnsi" w:eastAsiaTheme="minorEastAsia" w:hAnsiTheme="minorHAnsi" w:cstheme="minorBidi"/>
              <w:noProof/>
              <w:sz w:val="22"/>
              <w:szCs w:val="22"/>
              <w:lang w:val="nl-NL" w:eastAsia="nl-NL"/>
            </w:rPr>
          </w:pPr>
          <w:hyperlink w:anchor="_Toc2697718" w:history="1">
            <w:r w:rsidRPr="006D5248">
              <w:rPr>
                <w:rStyle w:val="Hyperlink"/>
                <w:noProof/>
              </w:rPr>
              <w:t>2</w:t>
            </w:r>
            <w:r>
              <w:rPr>
                <w:rFonts w:asciiTheme="minorHAnsi" w:eastAsiaTheme="minorEastAsia" w:hAnsiTheme="minorHAnsi" w:cstheme="minorBidi"/>
                <w:noProof/>
                <w:sz w:val="22"/>
                <w:szCs w:val="22"/>
                <w:lang w:val="nl-NL" w:eastAsia="nl-NL"/>
              </w:rPr>
              <w:tab/>
            </w:r>
            <w:r w:rsidRPr="006D5248">
              <w:rPr>
                <w:rStyle w:val="Hyperlink"/>
                <w:noProof/>
              </w:rPr>
              <w:t>Disability and employment - analysis of the situation and the effectiveness of policies</w:t>
            </w:r>
            <w:r>
              <w:rPr>
                <w:noProof/>
                <w:webHidden/>
              </w:rPr>
              <w:tab/>
            </w:r>
            <w:r>
              <w:rPr>
                <w:noProof/>
                <w:webHidden/>
              </w:rPr>
              <w:fldChar w:fldCharType="begin"/>
            </w:r>
            <w:r>
              <w:rPr>
                <w:noProof/>
                <w:webHidden/>
              </w:rPr>
              <w:instrText xml:space="preserve"> PAGEREF _Toc2697718 \h </w:instrText>
            </w:r>
            <w:r>
              <w:rPr>
                <w:noProof/>
                <w:webHidden/>
              </w:rPr>
            </w:r>
            <w:r>
              <w:rPr>
                <w:noProof/>
                <w:webHidden/>
              </w:rPr>
              <w:fldChar w:fldCharType="separate"/>
            </w:r>
            <w:r>
              <w:rPr>
                <w:noProof/>
                <w:webHidden/>
              </w:rPr>
              <w:t>8</w:t>
            </w:r>
            <w:r>
              <w:rPr>
                <w:noProof/>
                <w:webHidden/>
              </w:rPr>
              <w:fldChar w:fldCharType="end"/>
            </w:r>
          </w:hyperlink>
        </w:p>
        <w:p w14:paraId="3A0A67D4" w14:textId="2C901CD7" w:rsidR="002C6495" w:rsidRDefault="002C6495" w:rsidP="002C6495">
          <w:pPr>
            <w:pStyle w:val="TOC1"/>
            <w:rPr>
              <w:rFonts w:asciiTheme="minorHAnsi" w:eastAsiaTheme="minorEastAsia" w:hAnsiTheme="minorHAnsi" w:cstheme="minorBidi"/>
              <w:noProof/>
              <w:sz w:val="22"/>
              <w:szCs w:val="22"/>
              <w:lang w:val="nl-NL" w:eastAsia="nl-NL"/>
            </w:rPr>
          </w:pPr>
          <w:hyperlink w:anchor="_Toc2697719" w:history="1">
            <w:r w:rsidRPr="006D5248">
              <w:rPr>
                <w:rStyle w:val="Hyperlink"/>
                <w:noProof/>
              </w:rPr>
              <w:t>3</w:t>
            </w:r>
            <w:r>
              <w:rPr>
                <w:rFonts w:asciiTheme="minorHAnsi" w:eastAsiaTheme="minorEastAsia" w:hAnsiTheme="minorHAnsi" w:cstheme="minorBidi"/>
                <w:noProof/>
                <w:sz w:val="22"/>
                <w:szCs w:val="22"/>
                <w:lang w:val="nl-NL" w:eastAsia="nl-NL"/>
              </w:rPr>
              <w:tab/>
            </w:r>
            <w:r w:rsidRPr="006D5248">
              <w:rPr>
                <w:rStyle w:val="Hyperlink"/>
                <w:noProof/>
              </w:rPr>
              <w:t>Disability, education and skills – analysis of the situation and the effectiveness of policies</w:t>
            </w:r>
            <w:r>
              <w:rPr>
                <w:noProof/>
                <w:webHidden/>
              </w:rPr>
              <w:tab/>
            </w:r>
            <w:r>
              <w:rPr>
                <w:noProof/>
                <w:webHidden/>
              </w:rPr>
              <w:fldChar w:fldCharType="begin"/>
            </w:r>
            <w:r>
              <w:rPr>
                <w:noProof/>
                <w:webHidden/>
              </w:rPr>
              <w:instrText xml:space="preserve"> PAGEREF _Toc2697719 \h </w:instrText>
            </w:r>
            <w:r>
              <w:rPr>
                <w:noProof/>
                <w:webHidden/>
              </w:rPr>
            </w:r>
            <w:r>
              <w:rPr>
                <w:noProof/>
                <w:webHidden/>
              </w:rPr>
              <w:fldChar w:fldCharType="separate"/>
            </w:r>
            <w:r>
              <w:rPr>
                <w:noProof/>
                <w:webHidden/>
              </w:rPr>
              <w:t>13</w:t>
            </w:r>
            <w:r>
              <w:rPr>
                <w:noProof/>
                <w:webHidden/>
              </w:rPr>
              <w:fldChar w:fldCharType="end"/>
            </w:r>
          </w:hyperlink>
        </w:p>
        <w:p w14:paraId="3C3DF746" w14:textId="354CB573" w:rsidR="002C6495" w:rsidRDefault="002C6495" w:rsidP="002C6495">
          <w:pPr>
            <w:pStyle w:val="TOC1"/>
            <w:rPr>
              <w:rFonts w:asciiTheme="minorHAnsi" w:eastAsiaTheme="minorEastAsia" w:hAnsiTheme="minorHAnsi" w:cstheme="minorBidi"/>
              <w:noProof/>
              <w:sz w:val="22"/>
              <w:szCs w:val="22"/>
              <w:lang w:val="nl-NL" w:eastAsia="nl-NL"/>
            </w:rPr>
          </w:pPr>
          <w:hyperlink w:anchor="_Toc2697720" w:history="1">
            <w:r w:rsidRPr="006D5248">
              <w:rPr>
                <w:rStyle w:val="Hyperlink"/>
                <w:noProof/>
              </w:rPr>
              <w:t>4</w:t>
            </w:r>
            <w:r>
              <w:rPr>
                <w:rFonts w:asciiTheme="minorHAnsi" w:eastAsiaTheme="minorEastAsia" w:hAnsiTheme="minorHAnsi" w:cstheme="minorBidi"/>
                <w:noProof/>
                <w:sz w:val="22"/>
                <w:szCs w:val="22"/>
                <w:lang w:val="nl-NL" w:eastAsia="nl-NL"/>
              </w:rPr>
              <w:tab/>
            </w:r>
            <w:r w:rsidRPr="006D5248">
              <w:rPr>
                <w:rStyle w:val="Hyperlink"/>
                <w:noProof/>
              </w:rPr>
              <w:t>Disa</w:t>
            </w:r>
            <w:bookmarkStart w:id="0" w:name="_GoBack"/>
            <w:bookmarkEnd w:id="0"/>
            <w:r w:rsidRPr="006D5248">
              <w:rPr>
                <w:rStyle w:val="Hyperlink"/>
                <w:noProof/>
              </w:rPr>
              <w:t>bility, poverty and social exclusion – analysis of the situation and the effectiveness of policies</w:t>
            </w:r>
            <w:r>
              <w:rPr>
                <w:noProof/>
                <w:webHidden/>
              </w:rPr>
              <w:tab/>
            </w:r>
            <w:r>
              <w:rPr>
                <w:noProof/>
                <w:webHidden/>
              </w:rPr>
              <w:fldChar w:fldCharType="begin"/>
            </w:r>
            <w:r>
              <w:rPr>
                <w:noProof/>
                <w:webHidden/>
              </w:rPr>
              <w:instrText xml:space="preserve"> PAGEREF _Toc2697720 \h </w:instrText>
            </w:r>
            <w:r>
              <w:rPr>
                <w:noProof/>
                <w:webHidden/>
              </w:rPr>
            </w:r>
            <w:r>
              <w:rPr>
                <w:noProof/>
                <w:webHidden/>
              </w:rPr>
              <w:fldChar w:fldCharType="separate"/>
            </w:r>
            <w:r>
              <w:rPr>
                <w:noProof/>
                <w:webHidden/>
              </w:rPr>
              <w:t>17</w:t>
            </w:r>
            <w:r>
              <w:rPr>
                <w:noProof/>
                <w:webHidden/>
              </w:rPr>
              <w:fldChar w:fldCharType="end"/>
            </w:r>
          </w:hyperlink>
        </w:p>
        <w:p w14:paraId="3044084E" w14:textId="262095DA" w:rsidR="002C6495" w:rsidRDefault="002C6495" w:rsidP="002C6495">
          <w:pPr>
            <w:pStyle w:val="TOC1"/>
            <w:rPr>
              <w:rFonts w:asciiTheme="minorHAnsi" w:eastAsiaTheme="minorEastAsia" w:hAnsiTheme="minorHAnsi" w:cstheme="minorBidi"/>
              <w:noProof/>
              <w:sz w:val="22"/>
              <w:szCs w:val="22"/>
              <w:lang w:val="nl-NL" w:eastAsia="nl-NL"/>
            </w:rPr>
          </w:pPr>
          <w:hyperlink w:anchor="_Toc2697721" w:history="1">
            <w:r w:rsidRPr="006D5248">
              <w:rPr>
                <w:rStyle w:val="Hyperlink"/>
                <w:noProof/>
              </w:rPr>
              <w:t>5</w:t>
            </w:r>
            <w:r>
              <w:rPr>
                <w:rFonts w:asciiTheme="minorHAnsi" w:eastAsiaTheme="minorEastAsia" w:hAnsiTheme="minorHAnsi" w:cstheme="minorBidi"/>
                <w:noProof/>
                <w:sz w:val="22"/>
                <w:szCs w:val="22"/>
                <w:lang w:val="nl-NL" w:eastAsia="nl-NL"/>
              </w:rPr>
              <w:tab/>
            </w:r>
            <w:r w:rsidRPr="006D5248">
              <w:rPr>
                <w:rStyle w:val="Hyperlink"/>
                <w:noProof/>
              </w:rPr>
              <w:t>Opportunities to mainstream disability equality in the European Semester review documents</w:t>
            </w:r>
            <w:r>
              <w:rPr>
                <w:noProof/>
                <w:webHidden/>
              </w:rPr>
              <w:tab/>
            </w:r>
            <w:r>
              <w:rPr>
                <w:noProof/>
                <w:webHidden/>
              </w:rPr>
              <w:fldChar w:fldCharType="begin"/>
            </w:r>
            <w:r>
              <w:rPr>
                <w:noProof/>
                <w:webHidden/>
              </w:rPr>
              <w:instrText xml:space="preserve"> PAGEREF _Toc2697721 \h </w:instrText>
            </w:r>
            <w:r>
              <w:rPr>
                <w:noProof/>
                <w:webHidden/>
              </w:rPr>
            </w:r>
            <w:r>
              <w:rPr>
                <w:noProof/>
                <w:webHidden/>
              </w:rPr>
              <w:fldChar w:fldCharType="separate"/>
            </w:r>
            <w:r>
              <w:rPr>
                <w:noProof/>
                <w:webHidden/>
              </w:rPr>
              <w:t>22</w:t>
            </w:r>
            <w:r>
              <w:rPr>
                <w:noProof/>
                <w:webHidden/>
              </w:rPr>
              <w:fldChar w:fldCharType="end"/>
            </w:r>
          </w:hyperlink>
        </w:p>
        <w:p w14:paraId="3CFF63F0" w14:textId="0112592A" w:rsidR="002C6495" w:rsidRDefault="002C6495" w:rsidP="002C6495">
          <w:pPr>
            <w:pStyle w:val="TOC1"/>
            <w:rPr>
              <w:rFonts w:asciiTheme="minorHAnsi" w:eastAsiaTheme="minorEastAsia" w:hAnsiTheme="minorHAnsi" w:cstheme="minorBidi"/>
              <w:noProof/>
              <w:sz w:val="22"/>
              <w:szCs w:val="22"/>
              <w:lang w:val="nl-NL" w:eastAsia="nl-NL"/>
            </w:rPr>
          </w:pPr>
          <w:hyperlink w:anchor="_Toc2697722" w:history="1">
            <w:r w:rsidRPr="006D5248">
              <w:rPr>
                <w:rStyle w:val="Hyperlink"/>
                <w:noProof/>
              </w:rPr>
              <w:t>6</w:t>
            </w:r>
            <w:r>
              <w:rPr>
                <w:rFonts w:asciiTheme="minorHAnsi" w:eastAsiaTheme="minorEastAsia" w:hAnsiTheme="minorHAnsi" w:cstheme="minorBidi"/>
                <w:noProof/>
                <w:sz w:val="22"/>
                <w:szCs w:val="22"/>
                <w:lang w:val="nl-NL" w:eastAsia="nl-NL"/>
              </w:rPr>
              <w:tab/>
            </w:r>
            <w:r w:rsidRPr="006D5248">
              <w:rPr>
                <w:rStyle w:val="Hyperlink"/>
                <w:noProof/>
              </w:rPr>
              <w:t>Implementation of the European Structural and Investment Funds (ESIF) in relation to disability</w:t>
            </w:r>
            <w:r>
              <w:rPr>
                <w:noProof/>
                <w:webHidden/>
              </w:rPr>
              <w:tab/>
            </w:r>
            <w:r>
              <w:rPr>
                <w:noProof/>
                <w:webHidden/>
              </w:rPr>
              <w:fldChar w:fldCharType="begin"/>
            </w:r>
            <w:r>
              <w:rPr>
                <w:noProof/>
                <w:webHidden/>
              </w:rPr>
              <w:instrText xml:space="preserve"> PAGEREF _Toc2697722 \h </w:instrText>
            </w:r>
            <w:r>
              <w:rPr>
                <w:noProof/>
                <w:webHidden/>
              </w:rPr>
            </w:r>
            <w:r>
              <w:rPr>
                <w:noProof/>
                <w:webHidden/>
              </w:rPr>
              <w:fldChar w:fldCharType="separate"/>
            </w:r>
            <w:r>
              <w:rPr>
                <w:noProof/>
                <w:webHidden/>
              </w:rPr>
              <w:t>25</w:t>
            </w:r>
            <w:r>
              <w:rPr>
                <w:noProof/>
                <w:webHidden/>
              </w:rPr>
              <w:fldChar w:fldCharType="end"/>
            </w:r>
          </w:hyperlink>
        </w:p>
        <w:p w14:paraId="2CA9D298" w14:textId="1C20E100" w:rsidR="002C6495" w:rsidRDefault="002C6495" w:rsidP="002C6495">
          <w:pPr>
            <w:pStyle w:val="TOC1"/>
            <w:rPr>
              <w:rFonts w:asciiTheme="minorHAnsi" w:eastAsiaTheme="minorEastAsia" w:hAnsiTheme="minorHAnsi" w:cstheme="minorBidi"/>
              <w:noProof/>
              <w:sz w:val="22"/>
              <w:szCs w:val="22"/>
              <w:lang w:val="nl-NL" w:eastAsia="nl-NL"/>
            </w:rPr>
          </w:pPr>
          <w:hyperlink w:anchor="_Toc2697723" w:history="1">
            <w:r w:rsidRPr="006D5248">
              <w:rPr>
                <w:rStyle w:val="Hyperlink"/>
                <w:noProof/>
              </w:rPr>
              <w:t>7</w:t>
            </w:r>
            <w:r>
              <w:rPr>
                <w:rFonts w:asciiTheme="minorHAnsi" w:eastAsiaTheme="minorEastAsia" w:hAnsiTheme="minorHAnsi" w:cstheme="minorBidi"/>
                <w:noProof/>
                <w:sz w:val="22"/>
                <w:szCs w:val="22"/>
                <w:lang w:val="nl-NL" w:eastAsia="nl-NL"/>
              </w:rPr>
              <w:tab/>
            </w:r>
            <w:r w:rsidRPr="006D5248">
              <w:rPr>
                <w:rStyle w:val="Hyperlink"/>
                <w:noProof/>
              </w:rPr>
              <w:t>Statistical annex: disability data relevant to EU2020</w:t>
            </w:r>
            <w:r>
              <w:rPr>
                <w:noProof/>
                <w:webHidden/>
              </w:rPr>
              <w:tab/>
            </w:r>
            <w:r>
              <w:rPr>
                <w:noProof/>
                <w:webHidden/>
              </w:rPr>
              <w:fldChar w:fldCharType="begin"/>
            </w:r>
            <w:r>
              <w:rPr>
                <w:noProof/>
                <w:webHidden/>
              </w:rPr>
              <w:instrText xml:space="preserve"> PAGEREF _Toc2697723 \h </w:instrText>
            </w:r>
            <w:r>
              <w:rPr>
                <w:noProof/>
                <w:webHidden/>
              </w:rPr>
            </w:r>
            <w:r>
              <w:rPr>
                <w:noProof/>
                <w:webHidden/>
              </w:rPr>
              <w:fldChar w:fldCharType="separate"/>
            </w:r>
            <w:r>
              <w:rPr>
                <w:noProof/>
                <w:webHidden/>
              </w:rPr>
              <w:t>28</w:t>
            </w:r>
            <w:r>
              <w:rPr>
                <w:noProof/>
                <w:webHidden/>
              </w:rPr>
              <w:fldChar w:fldCharType="end"/>
            </w:r>
          </w:hyperlink>
        </w:p>
        <w:p w14:paraId="0A00D3FC" w14:textId="29BAFBF9" w:rsidR="002C6495" w:rsidRDefault="002C6495">
          <w:pPr>
            <w:pStyle w:val="TOC2"/>
            <w:tabs>
              <w:tab w:val="left" w:pos="880"/>
              <w:tab w:val="right" w:leader="dot" w:pos="9016"/>
            </w:tabs>
            <w:rPr>
              <w:rFonts w:asciiTheme="minorHAnsi" w:eastAsiaTheme="minorEastAsia" w:hAnsiTheme="minorHAnsi" w:cstheme="minorBidi"/>
              <w:noProof/>
              <w:sz w:val="22"/>
              <w:szCs w:val="22"/>
              <w:lang w:val="nl-NL" w:eastAsia="nl-NL"/>
            </w:rPr>
          </w:pPr>
          <w:hyperlink w:anchor="_Toc2697724" w:history="1">
            <w:r w:rsidRPr="006D5248">
              <w:rPr>
                <w:rStyle w:val="Hyperlink"/>
                <w:noProof/>
              </w:rPr>
              <w:t>7.1</w:t>
            </w:r>
            <w:r>
              <w:rPr>
                <w:rFonts w:asciiTheme="minorHAnsi" w:eastAsiaTheme="minorEastAsia" w:hAnsiTheme="minorHAnsi" w:cstheme="minorBidi"/>
                <w:noProof/>
                <w:sz w:val="22"/>
                <w:szCs w:val="22"/>
                <w:lang w:val="nl-NL" w:eastAsia="nl-NL"/>
              </w:rPr>
              <w:tab/>
            </w:r>
            <w:r w:rsidRPr="006D5248">
              <w:rPr>
                <w:rStyle w:val="Hyperlink"/>
                <w:noProof/>
              </w:rPr>
              <w:t>Disability and employment data from EU-SILC</w:t>
            </w:r>
            <w:r>
              <w:rPr>
                <w:noProof/>
                <w:webHidden/>
              </w:rPr>
              <w:tab/>
            </w:r>
            <w:r>
              <w:rPr>
                <w:noProof/>
                <w:webHidden/>
              </w:rPr>
              <w:fldChar w:fldCharType="begin"/>
            </w:r>
            <w:r>
              <w:rPr>
                <w:noProof/>
                <w:webHidden/>
              </w:rPr>
              <w:instrText xml:space="preserve"> PAGEREF _Toc2697724 \h </w:instrText>
            </w:r>
            <w:r>
              <w:rPr>
                <w:noProof/>
                <w:webHidden/>
              </w:rPr>
            </w:r>
            <w:r>
              <w:rPr>
                <w:noProof/>
                <w:webHidden/>
              </w:rPr>
              <w:fldChar w:fldCharType="separate"/>
            </w:r>
            <w:r>
              <w:rPr>
                <w:noProof/>
                <w:webHidden/>
              </w:rPr>
              <w:t>29</w:t>
            </w:r>
            <w:r>
              <w:rPr>
                <w:noProof/>
                <w:webHidden/>
              </w:rPr>
              <w:fldChar w:fldCharType="end"/>
            </w:r>
          </w:hyperlink>
        </w:p>
        <w:p w14:paraId="5CD117F4" w14:textId="06368FB6" w:rsidR="002C6495" w:rsidRDefault="002C6495">
          <w:pPr>
            <w:pStyle w:val="TOC3"/>
            <w:tabs>
              <w:tab w:val="left" w:pos="1320"/>
              <w:tab w:val="right" w:leader="dot" w:pos="9016"/>
            </w:tabs>
            <w:rPr>
              <w:rFonts w:asciiTheme="minorHAnsi" w:eastAsiaTheme="minorEastAsia" w:hAnsiTheme="minorHAnsi" w:cstheme="minorBidi"/>
              <w:noProof/>
              <w:sz w:val="22"/>
              <w:szCs w:val="22"/>
              <w:lang w:val="nl-NL" w:eastAsia="nl-NL"/>
            </w:rPr>
          </w:pPr>
          <w:hyperlink w:anchor="_Toc2697725" w:history="1">
            <w:r w:rsidRPr="006D5248">
              <w:rPr>
                <w:rStyle w:val="Hyperlink"/>
                <w:noProof/>
              </w:rPr>
              <w:t>7.1.1</w:t>
            </w:r>
            <w:r>
              <w:rPr>
                <w:rFonts w:asciiTheme="minorHAnsi" w:eastAsiaTheme="minorEastAsia" w:hAnsiTheme="minorHAnsi" w:cstheme="minorBidi"/>
                <w:noProof/>
                <w:sz w:val="22"/>
                <w:szCs w:val="22"/>
                <w:lang w:val="nl-NL" w:eastAsia="nl-NL"/>
              </w:rPr>
              <w:tab/>
            </w:r>
            <w:r w:rsidRPr="006D5248">
              <w:rPr>
                <w:rStyle w:val="Hyperlink"/>
                <w:noProof/>
              </w:rPr>
              <w:t>Unemployment</w:t>
            </w:r>
            <w:r>
              <w:rPr>
                <w:noProof/>
                <w:webHidden/>
              </w:rPr>
              <w:tab/>
            </w:r>
            <w:r>
              <w:rPr>
                <w:noProof/>
                <w:webHidden/>
              </w:rPr>
              <w:fldChar w:fldCharType="begin"/>
            </w:r>
            <w:r>
              <w:rPr>
                <w:noProof/>
                <w:webHidden/>
              </w:rPr>
              <w:instrText xml:space="preserve"> PAGEREF _Toc2697725 \h </w:instrText>
            </w:r>
            <w:r>
              <w:rPr>
                <w:noProof/>
                <w:webHidden/>
              </w:rPr>
            </w:r>
            <w:r>
              <w:rPr>
                <w:noProof/>
                <w:webHidden/>
              </w:rPr>
              <w:fldChar w:fldCharType="separate"/>
            </w:r>
            <w:r>
              <w:rPr>
                <w:noProof/>
                <w:webHidden/>
              </w:rPr>
              <w:t>30</w:t>
            </w:r>
            <w:r>
              <w:rPr>
                <w:noProof/>
                <w:webHidden/>
              </w:rPr>
              <w:fldChar w:fldCharType="end"/>
            </w:r>
          </w:hyperlink>
        </w:p>
        <w:p w14:paraId="5C90C853" w14:textId="312B4D88" w:rsidR="002C6495" w:rsidRDefault="002C6495">
          <w:pPr>
            <w:pStyle w:val="TOC3"/>
            <w:tabs>
              <w:tab w:val="left" w:pos="1320"/>
              <w:tab w:val="right" w:leader="dot" w:pos="9016"/>
            </w:tabs>
            <w:rPr>
              <w:rFonts w:asciiTheme="minorHAnsi" w:eastAsiaTheme="minorEastAsia" w:hAnsiTheme="minorHAnsi" w:cstheme="minorBidi"/>
              <w:noProof/>
              <w:sz w:val="22"/>
              <w:szCs w:val="22"/>
              <w:lang w:val="nl-NL" w:eastAsia="nl-NL"/>
            </w:rPr>
          </w:pPr>
          <w:hyperlink w:anchor="_Toc2697726" w:history="1">
            <w:r w:rsidRPr="006D5248">
              <w:rPr>
                <w:rStyle w:val="Hyperlink"/>
                <w:noProof/>
              </w:rPr>
              <w:t>7.1.2</w:t>
            </w:r>
            <w:r>
              <w:rPr>
                <w:rFonts w:asciiTheme="minorHAnsi" w:eastAsiaTheme="minorEastAsia" w:hAnsiTheme="minorHAnsi" w:cstheme="minorBidi"/>
                <w:noProof/>
                <w:sz w:val="22"/>
                <w:szCs w:val="22"/>
                <w:lang w:val="nl-NL" w:eastAsia="nl-NL"/>
              </w:rPr>
              <w:tab/>
            </w:r>
            <w:r w:rsidRPr="006D5248">
              <w:rPr>
                <w:rStyle w:val="Hyperlink"/>
                <w:noProof/>
              </w:rPr>
              <w:t>Economic activity</w:t>
            </w:r>
            <w:r>
              <w:rPr>
                <w:noProof/>
                <w:webHidden/>
              </w:rPr>
              <w:tab/>
            </w:r>
            <w:r>
              <w:rPr>
                <w:noProof/>
                <w:webHidden/>
              </w:rPr>
              <w:fldChar w:fldCharType="begin"/>
            </w:r>
            <w:r>
              <w:rPr>
                <w:noProof/>
                <w:webHidden/>
              </w:rPr>
              <w:instrText xml:space="preserve"> PAGEREF _Toc2697726 \h </w:instrText>
            </w:r>
            <w:r>
              <w:rPr>
                <w:noProof/>
                <w:webHidden/>
              </w:rPr>
            </w:r>
            <w:r>
              <w:rPr>
                <w:noProof/>
                <w:webHidden/>
              </w:rPr>
              <w:fldChar w:fldCharType="separate"/>
            </w:r>
            <w:r>
              <w:rPr>
                <w:noProof/>
                <w:webHidden/>
              </w:rPr>
              <w:t>31</w:t>
            </w:r>
            <w:r>
              <w:rPr>
                <w:noProof/>
                <w:webHidden/>
              </w:rPr>
              <w:fldChar w:fldCharType="end"/>
            </w:r>
          </w:hyperlink>
        </w:p>
        <w:p w14:paraId="39620C71" w14:textId="7632B3D8" w:rsidR="002C6495" w:rsidRDefault="002C6495">
          <w:pPr>
            <w:pStyle w:val="TOC3"/>
            <w:tabs>
              <w:tab w:val="left" w:pos="1320"/>
              <w:tab w:val="right" w:leader="dot" w:pos="9016"/>
            </w:tabs>
            <w:rPr>
              <w:rFonts w:asciiTheme="minorHAnsi" w:eastAsiaTheme="minorEastAsia" w:hAnsiTheme="minorHAnsi" w:cstheme="minorBidi"/>
              <w:noProof/>
              <w:sz w:val="22"/>
              <w:szCs w:val="22"/>
              <w:lang w:val="nl-NL" w:eastAsia="nl-NL"/>
            </w:rPr>
          </w:pPr>
          <w:hyperlink w:anchor="_Toc2697727" w:history="1">
            <w:r w:rsidRPr="006D5248">
              <w:rPr>
                <w:rStyle w:val="Hyperlink"/>
                <w:noProof/>
              </w:rPr>
              <w:t>7.1.3</w:t>
            </w:r>
            <w:r>
              <w:rPr>
                <w:rFonts w:asciiTheme="minorHAnsi" w:eastAsiaTheme="minorEastAsia" w:hAnsiTheme="minorHAnsi" w:cstheme="minorBidi"/>
                <w:noProof/>
                <w:sz w:val="22"/>
                <w:szCs w:val="22"/>
                <w:lang w:val="nl-NL" w:eastAsia="nl-NL"/>
              </w:rPr>
              <w:tab/>
            </w:r>
            <w:r w:rsidRPr="006D5248">
              <w:rPr>
                <w:rStyle w:val="Hyperlink"/>
                <w:noProof/>
              </w:rPr>
              <w:t>Alternative sources of national disability employment data</w:t>
            </w:r>
            <w:r>
              <w:rPr>
                <w:noProof/>
                <w:webHidden/>
              </w:rPr>
              <w:tab/>
            </w:r>
            <w:r>
              <w:rPr>
                <w:noProof/>
                <w:webHidden/>
              </w:rPr>
              <w:fldChar w:fldCharType="begin"/>
            </w:r>
            <w:r>
              <w:rPr>
                <w:noProof/>
                <w:webHidden/>
              </w:rPr>
              <w:instrText xml:space="preserve"> PAGEREF _Toc2697727 \h </w:instrText>
            </w:r>
            <w:r>
              <w:rPr>
                <w:noProof/>
                <w:webHidden/>
              </w:rPr>
            </w:r>
            <w:r>
              <w:rPr>
                <w:noProof/>
                <w:webHidden/>
              </w:rPr>
              <w:fldChar w:fldCharType="separate"/>
            </w:r>
            <w:r>
              <w:rPr>
                <w:noProof/>
                <w:webHidden/>
              </w:rPr>
              <w:t>32</w:t>
            </w:r>
            <w:r>
              <w:rPr>
                <w:noProof/>
                <w:webHidden/>
              </w:rPr>
              <w:fldChar w:fldCharType="end"/>
            </w:r>
          </w:hyperlink>
        </w:p>
        <w:p w14:paraId="0184214C" w14:textId="6E2F315D" w:rsidR="002C6495" w:rsidRDefault="002C6495">
          <w:pPr>
            <w:pStyle w:val="TOC2"/>
            <w:tabs>
              <w:tab w:val="left" w:pos="880"/>
              <w:tab w:val="right" w:leader="dot" w:pos="9016"/>
            </w:tabs>
            <w:rPr>
              <w:rFonts w:asciiTheme="minorHAnsi" w:eastAsiaTheme="minorEastAsia" w:hAnsiTheme="minorHAnsi" w:cstheme="minorBidi"/>
              <w:noProof/>
              <w:sz w:val="22"/>
              <w:szCs w:val="22"/>
              <w:lang w:val="nl-NL" w:eastAsia="nl-NL"/>
            </w:rPr>
          </w:pPr>
          <w:hyperlink w:anchor="_Toc2697728" w:history="1">
            <w:r w:rsidRPr="006D5248">
              <w:rPr>
                <w:rStyle w:val="Hyperlink"/>
                <w:noProof/>
              </w:rPr>
              <w:t>7.2</w:t>
            </w:r>
            <w:r>
              <w:rPr>
                <w:rFonts w:asciiTheme="minorHAnsi" w:eastAsiaTheme="minorEastAsia" w:hAnsiTheme="minorHAnsi" w:cstheme="minorBidi"/>
                <w:noProof/>
                <w:sz w:val="22"/>
                <w:szCs w:val="22"/>
                <w:lang w:val="nl-NL" w:eastAsia="nl-NL"/>
              </w:rPr>
              <w:tab/>
            </w:r>
            <w:r w:rsidRPr="006D5248">
              <w:rPr>
                <w:rStyle w:val="Hyperlink"/>
                <w:noProof/>
              </w:rPr>
              <w:t>Disability and educational attainment data from EU-SILC</w:t>
            </w:r>
            <w:r>
              <w:rPr>
                <w:noProof/>
                <w:webHidden/>
              </w:rPr>
              <w:tab/>
            </w:r>
            <w:r>
              <w:rPr>
                <w:noProof/>
                <w:webHidden/>
              </w:rPr>
              <w:fldChar w:fldCharType="begin"/>
            </w:r>
            <w:r>
              <w:rPr>
                <w:noProof/>
                <w:webHidden/>
              </w:rPr>
              <w:instrText xml:space="preserve"> PAGEREF _Toc2697728 \h </w:instrText>
            </w:r>
            <w:r>
              <w:rPr>
                <w:noProof/>
                <w:webHidden/>
              </w:rPr>
            </w:r>
            <w:r>
              <w:rPr>
                <w:noProof/>
                <w:webHidden/>
              </w:rPr>
              <w:fldChar w:fldCharType="separate"/>
            </w:r>
            <w:r>
              <w:rPr>
                <w:noProof/>
                <w:webHidden/>
              </w:rPr>
              <w:t>35</w:t>
            </w:r>
            <w:r>
              <w:rPr>
                <w:noProof/>
                <w:webHidden/>
              </w:rPr>
              <w:fldChar w:fldCharType="end"/>
            </w:r>
          </w:hyperlink>
        </w:p>
        <w:p w14:paraId="44FE16B5" w14:textId="30D33159" w:rsidR="002C6495" w:rsidRDefault="002C6495">
          <w:pPr>
            <w:pStyle w:val="TOC3"/>
            <w:tabs>
              <w:tab w:val="left" w:pos="1320"/>
              <w:tab w:val="right" w:leader="dot" w:pos="9016"/>
            </w:tabs>
            <w:rPr>
              <w:rFonts w:asciiTheme="minorHAnsi" w:eastAsiaTheme="minorEastAsia" w:hAnsiTheme="minorHAnsi" w:cstheme="minorBidi"/>
              <w:noProof/>
              <w:sz w:val="22"/>
              <w:szCs w:val="22"/>
              <w:lang w:val="nl-NL" w:eastAsia="nl-NL"/>
            </w:rPr>
          </w:pPr>
          <w:hyperlink w:anchor="_Toc2697729" w:history="1">
            <w:r w:rsidRPr="006D5248">
              <w:rPr>
                <w:rStyle w:val="Hyperlink"/>
                <w:noProof/>
              </w:rPr>
              <w:t>7.2.1</w:t>
            </w:r>
            <w:r>
              <w:rPr>
                <w:rFonts w:asciiTheme="minorHAnsi" w:eastAsiaTheme="minorEastAsia" w:hAnsiTheme="minorHAnsi" w:cstheme="minorBidi"/>
                <w:noProof/>
                <w:sz w:val="22"/>
                <w:szCs w:val="22"/>
                <w:lang w:val="nl-NL" w:eastAsia="nl-NL"/>
              </w:rPr>
              <w:tab/>
            </w:r>
            <w:r w:rsidRPr="006D5248">
              <w:rPr>
                <w:rStyle w:val="Hyperlink"/>
                <w:noProof/>
              </w:rPr>
              <w:t>Alternative sources of national disability education data</w:t>
            </w:r>
            <w:r>
              <w:rPr>
                <w:noProof/>
                <w:webHidden/>
              </w:rPr>
              <w:tab/>
            </w:r>
            <w:r>
              <w:rPr>
                <w:noProof/>
                <w:webHidden/>
              </w:rPr>
              <w:fldChar w:fldCharType="begin"/>
            </w:r>
            <w:r>
              <w:rPr>
                <w:noProof/>
                <w:webHidden/>
              </w:rPr>
              <w:instrText xml:space="preserve"> PAGEREF _Toc2697729 \h </w:instrText>
            </w:r>
            <w:r>
              <w:rPr>
                <w:noProof/>
                <w:webHidden/>
              </w:rPr>
            </w:r>
            <w:r>
              <w:rPr>
                <w:noProof/>
                <w:webHidden/>
              </w:rPr>
              <w:fldChar w:fldCharType="separate"/>
            </w:r>
            <w:r>
              <w:rPr>
                <w:noProof/>
                <w:webHidden/>
              </w:rPr>
              <w:t>36</w:t>
            </w:r>
            <w:r>
              <w:rPr>
                <w:noProof/>
                <w:webHidden/>
              </w:rPr>
              <w:fldChar w:fldCharType="end"/>
            </w:r>
          </w:hyperlink>
        </w:p>
        <w:p w14:paraId="62B9FD23" w14:textId="575CDFBF" w:rsidR="002C6495" w:rsidRDefault="002C6495">
          <w:pPr>
            <w:pStyle w:val="TOC2"/>
            <w:tabs>
              <w:tab w:val="left" w:pos="880"/>
              <w:tab w:val="right" w:leader="dot" w:pos="9016"/>
            </w:tabs>
            <w:rPr>
              <w:rFonts w:asciiTheme="minorHAnsi" w:eastAsiaTheme="minorEastAsia" w:hAnsiTheme="minorHAnsi" w:cstheme="minorBidi"/>
              <w:noProof/>
              <w:sz w:val="22"/>
              <w:szCs w:val="22"/>
              <w:lang w:val="nl-NL" w:eastAsia="nl-NL"/>
            </w:rPr>
          </w:pPr>
          <w:hyperlink w:anchor="_Toc2697730" w:history="1">
            <w:r w:rsidRPr="006D5248">
              <w:rPr>
                <w:rStyle w:val="Hyperlink"/>
                <w:noProof/>
              </w:rPr>
              <w:t>7.3</w:t>
            </w:r>
            <w:r>
              <w:rPr>
                <w:rFonts w:asciiTheme="minorHAnsi" w:eastAsiaTheme="minorEastAsia" w:hAnsiTheme="minorHAnsi" w:cstheme="minorBidi"/>
                <w:noProof/>
                <w:sz w:val="22"/>
                <w:szCs w:val="22"/>
                <w:lang w:val="nl-NL" w:eastAsia="nl-NL"/>
              </w:rPr>
              <w:tab/>
            </w:r>
            <w:r w:rsidRPr="006D5248">
              <w:rPr>
                <w:rStyle w:val="Hyperlink"/>
                <w:noProof/>
              </w:rPr>
              <w:t>Disability and poverty or social exclusion data from EU-SILC</w:t>
            </w:r>
            <w:r>
              <w:rPr>
                <w:noProof/>
                <w:webHidden/>
              </w:rPr>
              <w:tab/>
            </w:r>
            <w:r>
              <w:rPr>
                <w:noProof/>
                <w:webHidden/>
              </w:rPr>
              <w:fldChar w:fldCharType="begin"/>
            </w:r>
            <w:r>
              <w:rPr>
                <w:noProof/>
                <w:webHidden/>
              </w:rPr>
              <w:instrText xml:space="preserve"> PAGEREF _Toc2697730 \h </w:instrText>
            </w:r>
            <w:r>
              <w:rPr>
                <w:noProof/>
                <w:webHidden/>
              </w:rPr>
            </w:r>
            <w:r>
              <w:rPr>
                <w:noProof/>
                <w:webHidden/>
              </w:rPr>
              <w:fldChar w:fldCharType="separate"/>
            </w:r>
            <w:r>
              <w:rPr>
                <w:noProof/>
                <w:webHidden/>
              </w:rPr>
              <w:t>37</w:t>
            </w:r>
            <w:r>
              <w:rPr>
                <w:noProof/>
                <w:webHidden/>
              </w:rPr>
              <w:fldChar w:fldCharType="end"/>
            </w:r>
          </w:hyperlink>
        </w:p>
        <w:p w14:paraId="143115CA" w14:textId="182D75C1" w:rsidR="002C6495" w:rsidRDefault="002C6495">
          <w:pPr>
            <w:pStyle w:val="TOC3"/>
            <w:tabs>
              <w:tab w:val="left" w:pos="1320"/>
              <w:tab w:val="right" w:leader="dot" w:pos="9016"/>
            </w:tabs>
            <w:rPr>
              <w:rFonts w:asciiTheme="minorHAnsi" w:eastAsiaTheme="minorEastAsia" w:hAnsiTheme="minorHAnsi" w:cstheme="minorBidi"/>
              <w:noProof/>
              <w:sz w:val="22"/>
              <w:szCs w:val="22"/>
              <w:lang w:val="nl-NL" w:eastAsia="nl-NL"/>
            </w:rPr>
          </w:pPr>
          <w:hyperlink w:anchor="_Toc2697731" w:history="1">
            <w:r w:rsidRPr="006D5248">
              <w:rPr>
                <w:rStyle w:val="Hyperlink"/>
                <w:noProof/>
              </w:rPr>
              <w:t>7.3.1</w:t>
            </w:r>
            <w:r>
              <w:rPr>
                <w:rFonts w:asciiTheme="minorHAnsi" w:eastAsiaTheme="minorEastAsia" w:hAnsiTheme="minorHAnsi" w:cstheme="minorBidi"/>
                <w:noProof/>
                <w:sz w:val="22"/>
                <w:szCs w:val="22"/>
                <w:lang w:val="nl-NL" w:eastAsia="nl-NL"/>
              </w:rPr>
              <w:tab/>
            </w:r>
            <w:r w:rsidRPr="006D5248">
              <w:rPr>
                <w:rStyle w:val="Hyperlink"/>
                <w:noProof/>
              </w:rPr>
              <w:t>Alternative sources of national disability poverty data</w:t>
            </w:r>
            <w:r>
              <w:rPr>
                <w:noProof/>
                <w:webHidden/>
              </w:rPr>
              <w:tab/>
            </w:r>
            <w:r>
              <w:rPr>
                <w:noProof/>
                <w:webHidden/>
              </w:rPr>
              <w:fldChar w:fldCharType="begin"/>
            </w:r>
            <w:r>
              <w:rPr>
                <w:noProof/>
                <w:webHidden/>
              </w:rPr>
              <w:instrText xml:space="preserve"> PAGEREF _Toc2697731 \h </w:instrText>
            </w:r>
            <w:r>
              <w:rPr>
                <w:noProof/>
                <w:webHidden/>
              </w:rPr>
            </w:r>
            <w:r>
              <w:rPr>
                <w:noProof/>
                <w:webHidden/>
              </w:rPr>
              <w:fldChar w:fldCharType="separate"/>
            </w:r>
            <w:r>
              <w:rPr>
                <w:noProof/>
                <w:webHidden/>
              </w:rPr>
              <w:t>38</w:t>
            </w:r>
            <w:r>
              <w:rPr>
                <w:noProof/>
                <w:webHidden/>
              </w:rPr>
              <w:fldChar w:fldCharType="end"/>
            </w:r>
          </w:hyperlink>
        </w:p>
        <w:p w14:paraId="0E1C6AD6" w14:textId="1B116994" w:rsidR="00A14F67" w:rsidRDefault="00A14F67">
          <w:r>
            <w:rPr>
              <w:b/>
              <w:bCs/>
              <w:noProof/>
            </w:rPr>
            <w:fldChar w:fldCharType="end"/>
          </w:r>
        </w:p>
      </w:sdtContent>
    </w:sdt>
    <w:p w14:paraId="59642CD5" w14:textId="77777777" w:rsidR="004D01C6" w:rsidRDefault="004D01C6">
      <w:pPr>
        <w:spacing w:after="200" w:line="276" w:lineRule="auto"/>
      </w:pPr>
      <w:r>
        <w:br w:type="page"/>
      </w:r>
    </w:p>
    <w:p w14:paraId="3A934545" w14:textId="77777777" w:rsidR="00AB2647" w:rsidRDefault="004D01C6" w:rsidP="00A14357">
      <w:pPr>
        <w:pStyle w:val="Heading1"/>
      </w:pPr>
      <w:bookmarkStart w:id="1" w:name="_Toc2697712"/>
      <w:r w:rsidRPr="00AF323E">
        <w:lastRenderedPageBreak/>
        <w:t xml:space="preserve">Summary </w:t>
      </w:r>
      <w:r w:rsidR="00AB2647">
        <w:t>and recommendations</w:t>
      </w:r>
      <w:bookmarkEnd w:id="1"/>
    </w:p>
    <w:p w14:paraId="0D78FA98" w14:textId="5BE15828" w:rsidR="00AB2647" w:rsidRPr="00AB2647" w:rsidRDefault="00AB2647" w:rsidP="00AB2647"/>
    <w:p w14:paraId="7318BFB7" w14:textId="22A96D8D" w:rsidR="004D01C6" w:rsidRPr="00AF323E" w:rsidRDefault="00AB2647" w:rsidP="00CD69B8">
      <w:pPr>
        <w:pStyle w:val="Heading2"/>
      </w:pPr>
      <w:bookmarkStart w:id="2" w:name="_Toc2697713"/>
      <w:r>
        <w:t xml:space="preserve">Key </w:t>
      </w:r>
      <w:r w:rsidR="00EC13E4">
        <w:t>features of</w:t>
      </w:r>
      <w:r w:rsidR="004D01C6" w:rsidRPr="00AF323E">
        <w:t xml:space="preserve"> the </w:t>
      </w:r>
      <w:r w:rsidR="00696A74">
        <w:t>disability</w:t>
      </w:r>
      <w:r w:rsidR="004D01C6" w:rsidRPr="00AF323E">
        <w:t xml:space="preserve"> situation and challenges</w:t>
      </w:r>
      <w:r w:rsidR="00FB7E17">
        <w:t xml:space="preserve"> in 2018-19</w:t>
      </w:r>
      <w:bookmarkEnd w:id="2"/>
    </w:p>
    <w:p w14:paraId="4A9BFF9A" w14:textId="12437766" w:rsidR="00954863" w:rsidRDefault="00954863" w:rsidP="00AF323E"/>
    <w:p w14:paraId="1E047960" w14:textId="322E6F2B" w:rsidR="00461215" w:rsidRPr="001D58A2" w:rsidRDefault="008437A7" w:rsidP="00461215">
      <w:pPr>
        <w:jc w:val="both"/>
      </w:pPr>
      <w:r>
        <w:t>Malta’s 2018 NRP gives attention to disability policies but d</w:t>
      </w:r>
      <w:r w:rsidR="00461215" w:rsidRPr="001D58A2">
        <w:t xml:space="preserve">isabled people in Malta continue to be at a disadvantage in all three areas: employment, education and </w:t>
      </w:r>
      <w:r w:rsidR="009C5BBC">
        <w:t xml:space="preserve">risk of </w:t>
      </w:r>
      <w:r w:rsidR="00461215" w:rsidRPr="001D58A2">
        <w:t>po</w:t>
      </w:r>
      <w:r w:rsidR="009C5BBC">
        <w:t>verty</w:t>
      </w:r>
      <w:r w:rsidR="00461215" w:rsidRPr="001D58A2">
        <w:t xml:space="preserve">. </w:t>
      </w:r>
    </w:p>
    <w:p w14:paraId="2CB116BE" w14:textId="6FD941D9" w:rsidR="00461215" w:rsidRDefault="00461215" w:rsidP="00461215">
      <w:pPr>
        <w:jc w:val="both"/>
      </w:pPr>
    </w:p>
    <w:p w14:paraId="23E2B01E" w14:textId="6838A486" w:rsidR="003C593E" w:rsidRDefault="00E66D10" w:rsidP="00D71C8B">
      <w:pPr>
        <w:jc w:val="both"/>
      </w:pPr>
      <w:r>
        <w:t>According to EU-SILC estimates t</w:t>
      </w:r>
      <w:r w:rsidR="00461215">
        <w:t xml:space="preserve">he employment </w:t>
      </w:r>
      <w:r>
        <w:t xml:space="preserve">rate </w:t>
      </w:r>
      <w:r w:rsidR="00461215">
        <w:t xml:space="preserve">of disabled people in Malta is </w:t>
      </w:r>
      <w:r>
        <w:t>the lowest in the EU</w:t>
      </w:r>
      <w:r w:rsidR="00461215">
        <w:t xml:space="preserve">, </w:t>
      </w:r>
      <w:r>
        <w:t>as it is also for</w:t>
      </w:r>
      <w:r w:rsidR="00461215">
        <w:t xml:space="preserve"> women with disabilities. The rate of activity of disabled people is also </w:t>
      </w:r>
      <w:r w:rsidR="00C47B7D">
        <w:t>the lowest</w:t>
      </w:r>
      <w:r w:rsidR="00461215">
        <w:t xml:space="preserve"> (31.3%) compared to the general rate of activity in Malta (72%). Several reasons might </w:t>
      </w:r>
      <w:r w:rsidR="00C47B7D">
        <w:t>account</w:t>
      </w:r>
      <w:r w:rsidR="00461215">
        <w:t xml:space="preserve"> for this, including disabled people’s lack of qualifications, lack of accessibility or reasonable accommodation </w:t>
      </w:r>
      <w:r w:rsidR="00C47B7D">
        <w:t xml:space="preserve">in </w:t>
      </w:r>
      <w:r w:rsidR="00461215">
        <w:t>the workplace, lack of willingness and awareness on the part of the employer</w:t>
      </w:r>
      <w:r w:rsidR="00C47B7D">
        <w:t>s,</w:t>
      </w:r>
      <w:r w:rsidR="00421C24">
        <w:rPr>
          <w:lang w:val="mt-MT"/>
        </w:rPr>
        <w:t xml:space="preserve"> and sometimes overprotection from </w:t>
      </w:r>
      <w:r w:rsidR="003C593E">
        <w:rPr>
          <w:lang w:val="mt-MT"/>
        </w:rPr>
        <w:t>families</w:t>
      </w:r>
      <w:r w:rsidR="00421C24">
        <w:rPr>
          <w:lang w:val="mt-MT"/>
        </w:rPr>
        <w:t>, particularly in relation to persons with intellectu</w:t>
      </w:r>
      <w:r w:rsidR="00003206">
        <w:t>a</w:t>
      </w:r>
      <w:r w:rsidR="00421C24">
        <w:rPr>
          <w:lang w:val="mt-MT"/>
        </w:rPr>
        <w:t>l impairment</w:t>
      </w:r>
      <w:r w:rsidR="00461215">
        <w:t xml:space="preserve">. </w:t>
      </w:r>
      <w:r w:rsidR="00C47B7D">
        <w:t>Current s</w:t>
      </w:r>
      <w:r w:rsidR="00461215">
        <w:t xml:space="preserve">trategies and programmes </w:t>
      </w:r>
      <w:r w:rsidR="00C47B7D">
        <w:t>to</w:t>
      </w:r>
      <w:r w:rsidR="00461215">
        <w:t xml:space="preserve"> combat this situation include the law enforcing the 2% quota </w:t>
      </w:r>
      <w:r w:rsidR="00421C24">
        <w:rPr>
          <w:lang w:val="mt-MT"/>
        </w:rPr>
        <w:t xml:space="preserve">for companies employing </w:t>
      </w:r>
      <w:r w:rsidR="00773A63">
        <w:rPr>
          <w:lang w:val="mt-MT"/>
        </w:rPr>
        <w:t>20 or more</w:t>
      </w:r>
      <w:r w:rsidR="00421C24">
        <w:rPr>
          <w:lang w:val="mt-MT"/>
        </w:rPr>
        <w:t xml:space="preserve"> employees </w:t>
      </w:r>
      <w:r w:rsidR="00461215">
        <w:t>and schemes supporting the transition of people with disabilities from unemployment to employment (including subsidies to employers and exemptions from national insurance contribution</w:t>
      </w:r>
      <w:r w:rsidR="00C47B7D">
        <w:t>s</w:t>
      </w:r>
      <w:r w:rsidR="00461215">
        <w:t xml:space="preserve">). Other initiatives include pre-employment training, job coaching and sheltered employment training. </w:t>
      </w:r>
      <w:r w:rsidR="00C47B7D">
        <w:t>A pilot project was also launched in 2016, which includes the offer of job opportunities as well as training. Disability-specific statistics are lacking for some schemes, rendering the analysis of their efficacy difficult</w:t>
      </w:r>
      <w:r w:rsidR="008437A7">
        <w:t xml:space="preserve"> (although a ‘substantial increase’ in quota employment is claimed in the NRP)</w:t>
      </w:r>
      <w:r w:rsidR="00C47B7D">
        <w:t xml:space="preserve">. </w:t>
      </w:r>
      <w:r w:rsidR="00461215">
        <w:t xml:space="preserve">Of note is that sheltered </w:t>
      </w:r>
      <w:r w:rsidR="003C593E">
        <w:t xml:space="preserve">employment </w:t>
      </w:r>
      <w:r w:rsidR="00461215">
        <w:t>training</w:t>
      </w:r>
      <w:r w:rsidR="003C593E">
        <w:t xml:space="preserve"> </w:t>
      </w:r>
      <w:r w:rsidR="00461215">
        <w:t xml:space="preserve">is incompatible with </w:t>
      </w:r>
      <w:r w:rsidR="00F835CF">
        <w:t>a</w:t>
      </w:r>
      <w:r w:rsidR="00461215">
        <w:t>rticle 27 of the UNCRPD</w:t>
      </w:r>
      <w:r w:rsidR="00F568C4">
        <w:t xml:space="preserve">: </w:t>
      </w:r>
      <w:proofErr w:type="gramStart"/>
      <w:r w:rsidR="00F568C4">
        <w:t>the</w:t>
      </w:r>
      <w:proofErr w:type="gramEnd"/>
      <w:r w:rsidR="00F568C4">
        <w:t xml:space="preserve"> Committee on the Rights of Persons with Disabilities, in its </w:t>
      </w:r>
      <w:r w:rsidR="00D71C8B">
        <w:t>C</w:t>
      </w:r>
      <w:r w:rsidR="00F568C4">
        <w:t xml:space="preserve">oncluding </w:t>
      </w:r>
      <w:r w:rsidR="00D71C8B">
        <w:t>O</w:t>
      </w:r>
      <w:r w:rsidR="00F568C4">
        <w:t>bservations on Malta’s initial report in September 2018,</w:t>
      </w:r>
      <w:r w:rsidR="00B72D47">
        <w:t xml:space="preserve"> also notes this and recommended</w:t>
      </w:r>
      <w:r w:rsidR="00F568C4">
        <w:t xml:space="preserve"> measures to support persons with disabilities to </w:t>
      </w:r>
      <w:r w:rsidR="00075986">
        <w:t>work in the open labour market.</w:t>
      </w:r>
      <w:r w:rsidR="00F568C4">
        <w:t xml:space="preserve"> </w:t>
      </w:r>
      <w:r w:rsidR="00461215">
        <w:t xml:space="preserve"> </w:t>
      </w:r>
    </w:p>
    <w:p w14:paraId="758FAD1D" w14:textId="77777777" w:rsidR="00D71C8B" w:rsidRDefault="00D71C8B" w:rsidP="003C593E">
      <w:pPr>
        <w:jc w:val="both"/>
      </w:pPr>
    </w:p>
    <w:p w14:paraId="0EFE632F" w14:textId="7F34756D" w:rsidR="00461215" w:rsidRDefault="00461215" w:rsidP="00611B32">
      <w:pPr>
        <w:jc w:val="both"/>
      </w:pPr>
      <w:r>
        <w:t>E</w:t>
      </w:r>
      <w:r w:rsidR="00C47B7D">
        <w:t>stimated e</w:t>
      </w:r>
      <w:r>
        <w:t>arly school leaving (ESL) rates for young disabled people are consistently the highest in Europe</w:t>
      </w:r>
      <w:r w:rsidR="00C47B7D">
        <w:t xml:space="preserve">, accentuating the </w:t>
      </w:r>
      <w:r>
        <w:t xml:space="preserve">high </w:t>
      </w:r>
      <w:r w:rsidR="00C47B7D">
        <w:t xml:space="preserve">rate </w:t>
      </w:r>
      <w:r>
        <w:t>for Malta in general</w:t>
      </w:r>
      <w:r w:rsidR="00C47B7D">
        <w:t xml:space="preserve"> and</w:t>
      </w:r>
      <w:r>
        <w:t xml:space="preserve"> compounded </w:t>
      </w:r>
      <w:r w:rsidR="00C47B7D">
        <w:t xml:space="preserve">by </w:t>
      </w:r>
      <w:r>
        <w:t>the fact that disability status influences learning outcomes. This indicates that the inclusive education policy introduced in Malta in 1995</w:t>
      </w:r>
      <w:r w:rsidR="00C47B7D">
        <w:t>,</w:t>
      </w:r>
      <w:r>
        <w:t xml:space="preserve"> and the 2005 reform of the special education system</w:t>
      </w:r>
      <w:r w:rsidR="00C47B7D">
        <w:t>,</w:t>
      </w:r>
      <w:r>
        <w:t xml:space="preserve"> have not had the desired results. On the other hand, the number</w:t>
      </w:r>
      <w:r w:rsidR="00C47B7D">
        <w:t>s</w:t>
      </w:r>
      <w:r>
        <w:t xml:space="preserve"> of disabled students at the University of Malta and the Malta College of Arts, Science and Technology (MCAST) are increasing</w:t>
      </w:r>
      <w:r w:rsidR="00A14357">
        <w:t>,</w:t>
      </w:r>
      <w:r w:rsidR="000F0AB3">
        <w:rPr>
          <w:rStyle w:val="FootnoteReference"/>
        </w:rPr>
        <w:footnoteReference w:id="1"/>
      </w:r>
      <w:r>
        <w:t xml:space="preserve"> suggesting that support provided to disabled students is reaping benefits. </w:t>
      </w:r>
      <w:r w:rsidR="00C47B7D">
        <w:t>However, lack of data makes it difficult to assess</w:t>
      </w:r>
      <w:r>
        <w:t xml:space="preserve"> the results of </w:t>
      </w:r>
      <w:r w:rsidR="00C47B7D">
        <w:t xml:space="preserve">specific </w:t>
      </w:r>
      <w:r>
        <w:t xml:space="preserve">strategies </w:t>
      </w:r>
      <w:r w:rsidR="00C47B7D">
        <w:t xml:space="preserve">targeting </w:t>
      </w:r>
      <w:r>
        <w:t xml:space="preserve">ESL </w:t>
      </w:r>
      <w:r w:rsidR="00C47B7D">
        <w:t xml:space="preserve">and </w:t>
      </w:r>
      <w:r>
        <w:t xml:space="preserve">disabled students. </w:t>
      </w:r>
      <w:r w:rsidR="00404693">
        <w:t>The Committee on the Rights of Persons with Disabilities, in September 2018, recommended that Malta, among other measures</w:t>
      </w:r>
      <w:r w:rsidR="00B72D47">
        <w:t>:</w:t>
      </w:r>
      <w:r w:rsidR="00404693">
        <w:t xml:space="preserve"> ensures the implementation of laws on education and accelerates the process of the UN</w:t>
      </w:r>
      <w:r w:rsidR="00B72D47">
        <w:t>CRPD Bill;</w:t>
      </w:r>
      <w:r w:rsidR="00404693">
        <w:t xml:space="preserve"> adopts measures to ensure that students with all kind of disabilities are provided with reasonable accommodation at all levels of education; and carries out research</w:t>
      </w:r>
      <w:r w:rsidR="000B108F">
        <w:t xml:space="preserve"> </w:t>
      </w:r>
      <w:r w:rsidR="000B108F">
        <w:lastRenderedPageBreak/>
        <w:t>to understand fully the barriers people with disabilities face in the educatio</w:t>
      </w:r>
      <w:r w:rsidR="00B72D47">
        <w:t>n sy</w:t>
      </w:r>
      <w:r w:rsidR="000B108F">
        <w:t>stem</w:t>
      </w:r>
      <w:r w:rsidR="00B72D47">
        <w:t>,</w:t>
      </w:r>
      <w:r w:rsidR="000B108F">
        <w:t xml:space="preserve"> and the relevant solutions required. </w:t>
      </w:r>
    </w:p>
    <w:p w14:paraId="502FA943" w14:textId="2A2F0811" w:rsidR="00461215" w:rsidRDefault="00461215" w:rsidP="00461215">
      <w:pPr>
        <w:jc w:val="both"/>
      </w:pPr>
    </w:p>
    <w:p w14:paraId="4F7D491A" w14:textId="4750430A" w:rsidR="00461215" w:rsidRPr="001D58A2" w:rsidRDefault="00611B32" w:rsidP="008437A7">
      <w:pPr>
        <w:jc w:val="both"/>
      </w:pPr>
      <w:r>
        <w:t>The risk of relative poverty among working age d</w:t>
      </w:r>
      <w:r w:rsidR="00461215">
        <w:t xml:space="preserve">isabled people </w:t>
      </w:r>
      <w:r>
        <w:t xml:space="preserve">in Malta is moderated </w:t>
      </w:r>
      <w:proofErr w:type="gramStart"/>
      <w:r>
        <w:t>to a larger extent by</w:t>
      </w:r>
      <w:proofErr w:type="gramEnd"/>
      <w:r>
        <w:t xml:space="preserve"> social transfers than in many other Member States, but less so for those with more severe impairments. In the absence of educational opportunity and employment income there is a high degree of long-term dependency on disability benefits and other social transfers. Despite</w:t>
      </w:r>
      <w:r w:rsidR="00461215">
        <w:t xml:space="preserve"> disability pension reform</w:t>
      </w:r>
      <w:r>
        <w:t xml:space="preserve">s </w:t>
      </w:r>
      <w:r w:rsidR="00461215">
        <w:t xml:space="preserve">some </w:t>
      </w:r>
      <w:r>
        <w:t xml:space="preserve">uprated benefits, such </w:t>
      </w:r>
      <w:r w:rsidR="00461215">
        <w:t xml:space="preserve">the Increased Severe Disability Allowance, </w:t>
      </w:r>
      <w:r>
        <w:t>continue</w:t>
      </w:r>
      <w:r w:rsidR="00461215">
        <w:t xml:space="preserve"> to exclude </w:t>
      </w:r>
      <w:r>
        <w:t xml:space="preserve">groups </w:t>
      </w:r>
      <w:r w:rsidR="00461215">
        <w:t xml:space="preserve">with severe psychosocial, sensorial and intellectual </w:t>
      </w:r>
      <w:r w:rsidR="009C5BBC">
        <w:t>impairments.</w:t>
      </w:r>
      <w:r w:rsidR="00461215">
        <w:t xml:space="preserve"> </w:t>
      </w:r>
      <w:r>
        <w:t xml:space="preserve">The </w:t>
      </w:r>
      <w:r w:rsidR="00773A63">
        <w:t xml:space="preserve">NRP </w:t>
      </w:r>
      <w:r w:rsidR="008437A7">
        <w:t>measure</w:t>
      </w:r>
      <w:r w:rsidR="00773A63">
        <w:t xml:space="preserve"> to develop residential homes </w:t>
      </w:r>
      <w:r w:rsidR="008437A7">
        <w:t xml:space="preserve">for disabled people </w:t>
      </w:r>
      <w:r>
        <w:t xml:space="preserve">as a </w:t>
      </w:r>
      <w:r w:rsidR="00773A63">
        <w:t>response to exclusion</w:t>
      </w:r>
      <w:r>
        <w:t xml:space="preserve"> also raise</w:t>
      </w:r>
      <w:r w:rsidR="00F51AD2">
        <w:t>s</w:t>
      </w:r>
      <w:r>
        <w:t xml:space="preserve"> barriers </w:t>
      </w:r>
      <w:r w:rsidR="00D54BA8">
        <w:t>to choose</w:t>
      </w:r>
      <w:r>
        <w:t xml:space="preserve"> and independence in community living.</w:t>
      </w:r>
      <w:r w:rsidR="00F51AD2">
        <w:t xml:space="preserve"> Indeed, the Committee on the Rights of Persons with Disabilities stated its concern, in September 2018, that Malta continues to institutionalise persons with disabilities and has not yet adopted a national legislation incorpo</w:t>
      </w:r>
      <w:r w:rsidR="00F835CF">
        <w:t>rating the legal provisions of a</w:t>
      </w:r>
      <w:r w:rsidR="00F51AD2">
        <w:t xml:space="preserve">rticle 19 of the UNCRPD. The same Committee also noted the limited financial support to persons with disabilities to employ personal assistance which would allow them to live independently, as well as the lack of skills training personnel to support persons with disabilities in the community.  </w:t>
      </w:r>
      <w:r>
        <w:t xml:space="preserve"> </w:t>
      </w:r>
    </w:p>
    <w:p w14:paraId="146A5B84" w14:textId="0E4E64C9" w:rsidR="00461215" w:rsidRPr="001D58A2" w:rsidRDefault="00461215" w:rsidP="00461215">
      <w:pPr>
        <w:jc w:val="both"/>
      </w:pPr>
    </w:p>
    <w:p w14:paraId="6FE500D6" w14:textId="0584F312" w:rsidR="007824A5" w:rsidRDefault="003C593E" w:rsidP="00A14357">
      <w:pPr>
        <w:jc w:val="both"/>
      </w:pPr>
      <w:r>
        <w:t xml:space="preserve">A commendable measure is one ensuring that disabled people are represented on </w:t>
      </w:r>
      <w:r w:rsidR="00611B32">
        <w:t xml:space="preserve">major </w:t>
      </w:r>
      <w:r>
        <w:t xml:space="preserve">public boards, committees and commissions, although their presence is still absent on certain key committees. </w:t>
      </w:r>
    </w:p>
    <w:p w14:paraId="586DAF09" w14:textId="77777777" w:rsidR="00A14357" w:rsidRPr="00A14357" w:rsidRDefault="00A14357" w:rsidP="00A14357">
      <w:pPr>
        <w:jc w:val="both"/>
      </w:pPr>
    </w:p>
    <w:p w14:paraId="3112B00C" w14:textId="7FEBCD41" w:rsidR="00172D74" w:rsidRDefault="00172D74" w:rsidP="00CD69B8">
      <w:pPr>
        <w:pStyle w:val="Heading2"/>
      </w:pPr>
      <w:bookmarkStart w:id="3" w:name="_Toc2697714"/>
      <w:r>
        <w:t>Recommendations</w:t>
      </w:r>
      <w:bookmarkEnd w:id="3"/>
    </w:p>
    <w:p w14:paraId="7268F20F" w14:textId="77777777" w:rsidR="00DF35A1" w:rsidRDefault="00DF35A1" w:rsidP="00DF35A1"/>
    <w:p w14:paraId="282BBA8F" w14:textId="280B5E98" w:rsidR="006879DE" w:rsidRDefault="0006610C" w:rsidP="00D54BA8">
      <w:pPr>
        <w:pStyle w:val="ListParagraph"/>
        <w:numPr>
          <w:ilvl w:val="0"/>
          <w:numId w:val="36"/>
        </w:numPr>
        <w:ind w:left="567" w:hanging="567"/>
        <w:jc w:val="both"/>
      </w:pPr>
      <w:r>
        <w:t>C</w:t>
      </w:r>
      <w:r w:rsidR="006879DE">
        <w:t xml:space="preserve">onclude the National Disability </w:t>
      </w:r>
      <w:r w:rsidR="00505789">
        <w:t>Strategy</w:t>
      </w:r>
      <w:r w:rsidR="006879DE">
        <w:t xml:space="preserve">, existing in draft since 2016, </w:t>
      </w:r>
      <w:proofErr w:type="gramStart"/>
      <w:r w:rsidR="006879DE">
        <w:t>in light of</w:t>
      </w:r>
      <w:proofErr w:type="gramEnd"/>
      <w:r w:rsidR="006879DE">
        <w:t xml:space="preserve"> the 2018 UNCRPD Recommendations and support its implementation with an Action Plan and a framework of relevant disability data collection, indicators and outcome targets.</w:t>
      </w:r>
    </w:p>
    <w:p w14:paraId="0E0C9A4B" w14:textId="77777777" w:rsidR="006879DE" w:rsidRDefault="006879DE" w:rsidP="006879DE">
      <w:pPr>
        <w:jc w:val="both"/>
      </w:pPr>
    </w:p>
    <w:p w14:paraId="3CE90DE3" w14:textId="42FA1AC0" w:rsidR="00455E28" w:rsidRDefault="00DC3A5A" w:rsidP="00D54BA8">
      <w:pPr>
        <w:pStyle w:val="ListParagraph"/>
        <w:numPr>
          <w:ilvl w:val="0"/>
          <w:numId w:val="36"/>
        </w:numPr>
        <w:ind w:left="567" w:hanging="567"/>
        <w:jc w:val="both"/>
      </w:pPr>
      <w:r>
        <w:t xml:space="preserve">Strengthen targeted employment activation measures and employment support services to ensure that disabled jobseekers are not left behind in a strengthening labour market. </w:t>
      </w:r>
    </w:p>
    <w:p w14:paraId="3F1B1E6A" w14:textId="29B170EB" w:rsidR="00DF35A1" w:rsidRDefault="00455E28" w:rsidP="002C6495">
      <w:pPr>
        <w:pStyle w:val="ListParagraph"/>
        <w:numPr>
          <w:ilvl w:val="0"/>
          <w:numId w:val="42"/>
        </w:numPr>
        <w:ind w:left="1134" w:hanging="567"/>
        <w:jc w:val="both"/>
      </w:pPr>
      <w:r>
        <w:t xml:space="preserve">Challenge: </w:t>
      </w:r>
      <w:r w:rsidR="00DC3A5A">
        <w:t>More open dialogue with employers (by agencies working with disabled people</w:t>
      </w:r>
      <w:r w:rsidR="0059192D">
        <w:t>)</w:t>
      </w:r>
      <w:r w:rsidR="00DC3A5A">
        <w:t xml:space="preserve"> to d</w:t>
      </w:r>
      <w:r>
        <w:t>ispel negative attitudes and lack of knowledge on employing disabled people; and lack of provision of reasonable accommodation.</w:t>
      </w:r>
    </w:p>
    <w:p w14:paraId="7D8F0BB9" w14:textId="77777777" w:rsidR="00455E28" w:rsidRDefault="00455E28" w:rsidP="00EE1F0A">
      <w:pPr>
        <w:pStyle w:val="ListParagraph"/>
        <w:ind w:left="567" w:hanging="567"/>
        <w:jc w:val="both"/>
      </w:pPr>
    </w:p>
    <w:p w14:paraId="48C35AD3" w14:textId="5738A87C" w:rsidR="00455E28" w:rsidRDefault="00455E28" w:rsidP="00EE1F0A">
      <w:pPr>
        <w:pStyle w:val="ListParagraph"/>
        <w:numPr>
          <w:ilvl w:val="0"/>
          <w:numId w:val="36"/>
        </w:numPr>
        <w:ind w:left="567" w:hanging="567"/>
        <w:jc w:val="both"/>
      </w:pPr>
      <w:r>
        <w:t xml:space="preserve">Gather </w:t>
      </w:r>
      <w:r w:rsidR="0035459A">
        <w:t xml:space="preserve">more </w:t>
      </w:r>
      <w:r>
        <w:t xml:space="preserve">disability-specific statistics on schemes </w:t>
      </w:r>
      <w:r w:rsidR="002C1042">
        <w:t xml:space="preserve">and initiatives </w:t>
      </w:r>
      <w:r w:rsidR="00842E2B">
        <w:t>aiming at increasing the employment of disabled people.</w:t>
      </w:r>
      <w:r w:rsidR="0073106E">
        <w:t xml:space="preserve"> This also means that disability status should be identified routinely in Malta’s national Labour Force Survey.</w:t>
      </w:r>
    </w:p>
    <w:p w14:paraId="5B81B17C" w14:textId="636FA8ED" w:rsidR="00842E2B" w:rsidRDefault="00842E2B" w:rsidP="002C6495">
      <w:pPr>
        <w:pStyle w:val="ListParagraph"/>
        <w:numPr>
          <w:ilvl w:val="0"/>
          <w:numId w:val="42"/>
        </w:numPr>
        <w:ind w:left="1134" w:hanging="567"/>
        <w:jc w:val="both"/>
      </w:pPr>
      <w:r>
        <w:t xml:space="preserve">Challenge: Gauging the effect of such schemes and </w:t>
      </w:r>
      <w:r w:rsidR="00A76E07">
        <w:t xml:space="preserve">their efficacy. </w:t>
      </w:r>
    </w:p>
    <w:p w14:paraId="4871797F" w14:textId="77777777" w:rsidR="00842E2B" w:rsidRDefault="00842E2B" w:rsidP="00842E2B">
      <w:pPr>
        <w:pStyle w:val="ListParagraph"/>
        <w:jc w:val="both"/>
      </w:pPr>
    </w:p>
    <w:p w14:paraId="7C9FAEF2" w14:textId="67C1B0B6" w:rsidR="00842E2B" w:rsidRDefault="00E53616" w:rsidP="00842E2B">
      <w:pPr>
        <w:pStyle w:val="ListParagraph"/>
        <w:numPr>
          <w:ilvl w:val="0"/>
          <w:numId w:val="36"/>
        </w:numPr>
        <w:jc w:val="both"/>
      </w:pPr>
      <w:r>
        <w:t xml:space="preserve">More disability-specific initiatives aimed at increasing the accessibility of higher education </w:t>
      </w:r>
      <w:r w:rsidR="009829F1">
        <w:t xml:space="preserve">and lifelong learning education </w:t>
      </w:r>
      <w:r>
        <w:t>to disabled students</w:t>
      </w:r>
      <w:r w:rsidR="00BA53F5">
        <w:t xml:space="preserve"> in mainstream institutions </w:t>
      </w:r>
      <w:r w:rsidR="002A7357">
        <w:t>and initiatives.</w:t>
      </w:r>
    </w:p>
    <w:p w14:paraId="654947F6" w14:textId="33A490E3" w:rsidR="00172D74" w:rsidRPr="00172D74" w:rsidRDefault="00E53616" w:rsidP="002C6495">
      <w:pPr>
        <w:pStyle w:val="ListParagraph"/>
        <w:numPr>
          <w:ilvl w:val="0"/>
          <w:numId w:val="42"/>
        </w:numPr>
        <w:ind w:left="1134" w:hanging="567"/>
        <w:jc w:val="both"/>
      </w:pPr>
      <w:r>
        <w:lastRenderedPageBreak/>
        <w:t xml:space="preserve">Challenge: Decreasing the high Early School Leaving rate of disabled students. </w:t>
      </w:r>
    </w:p>
    <w:p w14:paraId="1601BB18" w14:textId="77777777" w:rsidR="00542A12" w:rsidRDefault="00542A12" w:rsidP="00542A12">
      <w:pPr>
        <w:pStyle w:val="ListParagraph"/>
        <w:jc w:val="both"/>
      </w:pPr>
    </w:p>
    <w:p w14:paraId="7008CF72" w14:textId="6D5E1D5C" w:rsidR="00542A12" w:rsidRDefault="0006610C" w:rsidP="00EE1F0A">
      <w:pPr>
        <w:pStyle w:val="ListParagraph"/>
        <w:numPr>
          <w:ilvl w:val="0"/>
          <w:numId w:val="36"/>
        </w:numPr>
        <w:ind w:left="567" w:hanging="567"/>
        <w:jc w:val="both"/>
      </w:pPr>
      <w:r>
        <w:t xml:space="preserve">Address the exclusion of </w:t>
      </w:r>
      <w:r w:rsidRPr="00046FC7">
        <w:t>groups with severe psychosocial, sensorial and intellectual impairments</w:t>
      </w:r>
      <w:r>
        <w:t xml:space="preserve"> from eligibility for</w:t>
      </w:r>
      <w:r w:rsidRPr="00046FC7">
        <w:t xml:space="preserve"> Increas</w:t>
      </w:r>
      <w:r>
        <w:t>ed Severe Disability Allowance</w:t>
      </w:r>
      <w:r w:rsidR="009A232A">
        <w:t>,</w:t>
      </w:r>
      <w:r w:rsidR="00340B91">
        <w:t xml:space="preserve"> and the exclusion of persons whose disability is not severe from the Disability Assistance.</w:t>
      </w:r>
      <w:r w:rsidDel="0006610C">
        <w:t xml:space="preserve"> </w:t>
      </w:r>
      <w:r w:rsidR="00542A12">
        <w:t xml:space="preserve"> </w:t>
      </w:r>
    </w:p>
    <w:p w14:paraId="7307CF72" w14:textId="5D7F493D" w:rsidR="00542A12" w:rsidRDefault="00542A12" w:rsidP="002C6495">
      <w:pPr>
        <w:pStyle w:val="ListParagraph"/>
        <w:numPr>
          <w:ilvl w:val="0"/>
          <w:numId w:val="42"/>
        </w:numPr>
        <w:ind w:left="1134" w:hanging="567"/>
        <w:jc w:val="both"/>
      </w:pPr>
      <w:r>
        <w:t xml:space="preserve">Challenge: </w:t>
      </w:r>
      <w:r w:rsidR="003B5F65">
        <w:t xml:space="preserve">Current state of disability pensions exclude certain people with disabilities. </w:t>
      </w:r>
    </w:p>
    <w:p w14:paraId="27641B15" w14:textId="77777777" w:rsidR="002A7357" w:rsidRDefault="002A7357" w:rsidP="00542A12">
      <w:pPr>
        <w:pStyle w:val="ListParagraph"/>
        <w:jc w:val="both"/>
      </w:pPr>
    </w:p>
    <w:p w14:paraId="4D1D6828" w14:textId="77777777" w:rsidR="00A14357" w:rsidRDefault="00163AA4" w:rsidP="00A14357">
      <w:pPr>
        <w:pStyle w:val="ListParagraph"/>
        <w:numPr>
          <w:ilvl w:val="0"/>
          <w:numId w:val="36"/>
        </w:numPr>
        <w:ind w:left="567" w:hanging="567"/>
        <w:jc w:val="both"/>
      </w:pPr>
      <w:r>
        <w:t>S</w:t>
      </w:r>
      <w:r w:rsidRPr="00163AA4">
        <w:t>pecific evaluation outcome studies of poverty reduction measures including the pension reforms.</w:t>
      </w:r>
      <w:r>
        <w:t xml:space="preserve"> </w:t>
      </w:r>
    </w:p>
    <w:p w14:paraId="2ACF8A53" w14:textId="39BAC4D1" w:rsidR="002A7357" w:rsidRDefault="002A7357" w:rsidP="002C6495">
      <w:pPr>
        <w:pStyle w:val="ListParagraph"/>
        <w:numPr>
          <w:ilvl w:val="0"/>
          <w:numId w:val="42"/>
        </w:numPr>
        <w:ind w:left="1134" w:hanging="567"/>
        <w:jc w:val="both"/>
      </w:pPr>
      <w:r>
        <w:t xml:space="preserve">Challenge: </w:t>
      </w:r>
      <w:proofErr w:type="gramStart"/>
      <w:r>
        <w:t>In order to</w:t>
      </w:r>
      <w:proofErr w:type="gramEnd"/>
      <w:r>
        <w:t xml:space="preserve"> reduce poverty risks for disabled people, a more holistic picture is needed.</w:t>
      </w:r>
    </w:p>
    <w:p w14:paraId="153171DE" w14:textId="77777777" w:rsidR="00163AA4" w:rsidRDefault="00163AA4" w:rsidP="00A14357">
      <w:pPr>
        <w:pStyle w:val="ListParagraph"/>
        <w:ind w:left="567" w:hanging="567"/>
        <w:jc w:val="both"/>
      </w:pPr>
    </w:p>
    <w:p w14:paraId="6489A2F8" w14:textId="5EBA4C96" w:rsidR="00333385" w:rsidRDefault="00333385" w:rsidP="00A14357">
      <w:pPr>
        <w:pStyle w:val="ListParagraph"/>
        <w:numPr>
          <w:ilvl w:val="0"/>
          <w:numId w:val="36"/>
        </w:numPr>
        <w:ind w:left="567" w:hanging="567"/>
        <w:jc w:val="both"/>
      </w:pPr>
      <w:r>
        <w:t xml:space="preserve">Review the existing survey question methodology of official surveys with regards to disability. </w:t>
      </w:r>
    </w:p>
    <w:p w14:paraId="7FDE7B69" w14:textId="7DEB0B4B" w:rsidR="00163AA4" w:rsidRDefault="00333385" w:rsidP="002C6495">
      <w:pPr>
        <w:pStyle w:val="ListParagraph"/>
        <w:numPr>
          <w:ilvl w:val="0"/>
          <w:numId w:val="42"/>
        </w:numPr>
        <w:ind w:left="1134" w:hanging="567"/>
        <w:jc w:val="both"/>
      </w:pPr>
      <w:r>
        <w:t>Challenge: E</w:t>
      </w:r>
      <w:r w:rsidR="00163AA4" w:rsidRPr="00163AA4">
        <w:t>xisting survey question methodology misses a substantial number of people</w:t>
      </w:r>
      <w:r>
        <w:t xml:space="preserve"> who are disabled. </w:t>
      </w:r>
    </w:p>
    <w:p w14:paraId="1E863225" w14:textId="77777777" w:rsidR="009829F1" w:rsidRDefault="009829F1" w:rsidP="00542A12">
      <w:pPr>
        <w:pStyle w:val="ListParagraph"/>
        <w:jc w:val="both"/>
      </w:pPr>
    </w:p>
    <w:p w14:paraId="1D3E7B80" w14:textId="5EA37A7D" w:rsidR="009829F1" w:rsidRDefault="009829F1" w:rsidP="00A14357">
      <w:pPr>
        <w:pStyle w:val="ListParagraph"/>
        <w:numPr>
          <w:ilvl w:val="0"/>
          <w:numId w:val="36"/>
        </w:numPr>
        <w:ind w:left="567" w:hanging="567"/>
        <w:jc w:val="both"/>
      </w:pPr>
      <w:r>
        <w:t>Greater synergy among disability-specific measures and mainstream strategies aimed at increasing education and employment opportunities and reducing poverty</w:t>
      </w:r>
      <w:r w:rsidR="00BA53F5">
        <w:t>.</w:t>
      </w:r>
    </w:p>
    <w:p w14:paraId="31853733" w14:textId="228387EA" w:rsidR="00BA53F5" w:rsidRDefault="002A7357" w:rsidP="002C6495">
      <w:pPr>
        <w:pStyle w:val="ListParagraph"/>
        <w:numPr>
          <w:ilvl w:val="0"/>
          <w:numId w:val="42"/>
        </w:numPr>
        <w:ind w:left="1134" w:hanging="567"/>
        <w:jc w:val="both"/>
      </w:pPr>
      <w:r>
        <w:t>Challenge: T</w:t>
      </w:r>
      <w:r w:rsidR="00BA53F5">
        <w:t>o maximise the benefits for di</w:t>
      </w:r>
      <w:r w:rsidR="009C5BBC">
        <w:t>sabled people emana</w:t>
      </w:r>
      <w:r w:rsidR="00BA53F5">
        <w:t xml:space="preserve">ting from different strategies, and </w:t>
      </w:r>
      <w:r w:rsidR="009C5BBC">
        <w:t xml:space="preserve">to </w:t>
      </w:r>
      <w:r w:rsidR="00BA53F5">
        <w:t xml:space="preserve">ensure that mainstream strategies like those mentioned in the National Reform Programme </w:t>
      </w:r>
      <w:proofErr w:type="gramStart"/>
      <w:r w:rsidR="00BA53F5">
        <w:t>take into account</w:t>
      </w:r>
      <w:proofErr w:type="gramEnd"/>
      <w:r w:rsidR="00BA53F5">
        <w:t xml:space="preserve"> </w:t>
      </w:r>
      <w:r w:rsidR="009C5BBC">
        <w:t xml:space="preserve">the </w:t>
      </w:r>
      <w:r w:rsidR="00BA53F5">
        <w:t xml:space="preserve">particular needs of disabled people. </w:t>
      </w:r>
    </w:p>
    <w:p w14:paraId="19B29A88" w14:textId="77777777" w:rsidR="00377180" w:rsidRDefault="00377180" w:rsidP="00BA53F5">
      <w:pPr>
        <w:pStyle w:val="ListParagraph"/>
        <w:jc w:val="both"/>
      </w:pPr>
    </w:p>
    <w:p w14:paraId="73DF102C" w14:textId="13A614C8" w:rsidR="00377180" w:rsidRDefault="00377180" w:rsidP="00A14357">
      <w:pPr>
        <w:pStyle w:val="ListParagraph"/>
        <w:numPr>
          <w:ilvl w:val="0"/>
          <w:numId w:val="36"/>
        </w:numPr>
        <w:ind w:left="567" w:hanging="567"/>
        <w:jc w:val="both"/>
      </w:pPr>
      <w:r>
        <w:t>Strengthening of services enabling disabled people to live in the community, including more personal assistance funding.</w:t>
      </w:r>
    </w:p>
    <w:p w14:paraId="35595232" w14:textId="66F9ED36" w:rsidR="00EB64B7" w:rsidRDefault="00377180" w:rsidP="002C6495">
      <w:pPr>
        <w:pStyle w:val="ListParagraph"/>
        <w:numPr>
          <w:ilvl w:val="0"/>
          <w:numId w:val="42"/>
        </w:numPr>
        <w:ind w:left="1134" w:hanging="567"/>
        <w:jc w:val="both"/>
        <w:rPr>
          <w:rFonts w:eastAsiaTheme="majorEastAsia"/>
          <w:b/>
          <w:bCs/>
          <w:szCs w:val="26"/>
        </w:rPr>
      </w:pPr>
      <w:r>
        <w:t xml:space="preserve">Challenge: To ensure that disabled people </w:t>
      </w:r>
      <w:proofErr w:type="gramStart"/>
      <w:r>
        <w:t>are able to</w:t>
      </w:r>
      <w:proofErr w:type="gramEnd"/>
      <w:r>
        <w:t xml:space="preserve"> live independently in the community if they so wish, and to prevent the segregation and exclusion of people with disabilities. </w:t>
      </w:r>
    </w:p>
    <w:p w14:paraId="1D0E10D4" w14:textId="6EF57933" w:rsidR="00A14357" w:rsidRDefault="00A14357" w:rsidP="00A14357">
      <w:pPr>
        <w:rPr>
          <w:rFonts w:eastAsiaTheme="majorEastAsia"/>
          <w:b/>
          <w:bCs/>
          <w:szCs w:val="26"/>
        </w:rPr>
      </w:pPr>
    </w:p>
    <w:p w14:paraId="286631CD" w14:textId="72E9410D" w:rsidR="0071696A" w:rsidRDefault="00EC13E4" w:rsidP="00CD69B8">
      <w:pPr>
        <w:pStyle w:val="Heading2"/>
      </w:pPr>
      <w:bookmarkStart w:id="4" w:name="_Toc2697715"/>
      <w:r>
        <w:t>The EU2020 targets in relation to d</w:t>
      </w:r>
      <w:r w:rsidR="00742967">
        <w:t>isability s</w:t>
      </w:r>
      <w:r w:rsidR="003E601D">
        <w:t>trateg</w:t>
      </w:r>
      <w:r w:rsidR="00F8312E">
        <w:t>y</w:t>
      </w:r>
      <w:r w:rsidR="003E601D">
        <w:t xml:space="preserve"> </w:t>
      </w:r>
      <w:r>
        <w:t>and rights</w:t>
      </w:r>
      <w:bookmarkEnd w:id="4"/>
    </w:p>
    <w:p w14:paraId="73915259" w14:textId="77777777" w:rsidR="0071696A" w:rsidRDefault="0071696A" w:rsidP="0071696A"/>
    <w:p w14:paraId="08F0005D" w14:textId="2A078D0E" w:rsidR="0071696A" w:rsidRDefault="00011B4F" w:rsidP="00895667">
      <w:pPr>
        <w:jc w:val="both"/>
      </w:pPr>
      <w:r>
        <w:t>As part of Member State commitment</w:t>
      </w:r>
      <w:r w:rsidR="00742967">
        <w:t>s</w:t>
      </w:r>
      <w:r>
        <w:t xml:space="preserve"> to </w:t>
      </w:r>
      <w:r w:rsidR="00742967">
        <w:t xml:space="preserve">the </w:t>
      </w:r>
      <w:r>
        <w:t>EU2020</w:t>
      </w:r>
      <w:r w:rsidR="00742967" w:rsidRPr="00742967">
        <w:t xml:space="preserve"> </w:t>
      </w:r>
      <w:r w:rsidR="00742967">
        <w:t>strategy</w:t>
      </w:r>
      <w:r>
        <w:t>, t</w:t>
      </w:r>
      <w:r w:rsidR="0071696A">
        <w:t xml:space="preserve">he targets shown in </w:t>
      </w:r>
      <w:r w:rsidR="0071696A">
        <w:fldChar w:fldCharType="begin"/>
      </w:r>
      <w:r w:rsidR="0071696A">
        <w:instrText xml:space="preserve"> REF _Ref512929707 \h </w:instrText>
      </w:r>
      <w:r w:rsidR="00895667">
        <w:instrText xml:space="preserve"> \* MERGEFORMAT </w:instrText>
      </w:r>
      <w:r w:rsidR="0071696A">
        <w:fldChar w:fldCharType="separate"/>
      </w:r>
      <w:r w:rsidR="00FE3D2A">
        <w:t xml:space="preserve">Table </w:t>
      </w:r>
      <w:r w:rsidR="00FE3D2A">
        <w:rPr>
          <w:noProof/>
        </w:rPr>
        <w:t>1</w:t>
      </w:r>
      <w:r w:rsidR="0071696A">
        <w:fldChar w:fldCharType="end"/>
      </w:r>
      <w:r w:rsidR="0071696A">
        <w:t xml:space="preserve"> were established for the general population</w:t>
      </w:r>
      <w:r w:rsidR="00F710A8">
        <w:t>. Disability policies are highly relevant</w:t>
      </w:r>
      <w:r w:rsidR="00A14357">
        <w:t>,</w:t>
      </w:r>
      <w:r w:rsidR="00F710A8">
        <w:t xml:space="preserve"> </w:t>
      </w:r>
      <w:r>
        <w:t xml:space="preserve">and it </w:t>
      </w:r>
      <w:r w:rsidR="00F710A8">
        <w:t xml:space="preserve">is unlikely </w:t>
      </w:r>
      <w:r w:rsidR="00742967">
        <w:t>that</w:t>
      </w:r>
      <w:r w:rsidR="00F710A8">
        <w:t xml:space="preserve"> </w:t>
      </w:r>
      <w:r w:rsidR="00742967">
        <w:t xml:space="preserve">the </w:t>
      </w:r>
      <w:r w:rsidR="00F710A8">
        <w:t xml:space="preserve">EU targets </w:t>
      </w:r>
      <w:r w:rsidR="00742967">
        <w:t>can</w:t>
      </w:r>
      <w:r w:rsidR="00F710A8">
        <w:t xml:space="preserve"> be achieved without actions and investments to mainstream disability equality in </w:t>
      </w:r>
      <w:r w:rsidR="00742967">
        <w:t>these three areas</w:t>
      </w:r>
      <w:r w:rsidR="00F710A8">
        <w:t xml:space="preserve">. This </w:t>
      </w:r>
      <w:r w:rsidR="00085CDF">
        <w:t xml:space="preserve">country </w:t>
      </w:r>
      <w:r w:rsidR="00F710A8">
        <w:t xml:space="preserve">report shows where the main disability equality gaps </w:t>
      </w:r>
      <w:r>
        <w:t>exist</w:t>
      </w:r>
      <w:r w:rsidR="00F710A8">
        <w:t xml:space="preserve">, at the national level. It assesses the </w:t>
      </w:r>
      <w:r w:rsidR="00742967">
        <w:t>main</w:t>
      </w:r>
      <w:r>
        <w:t xml:space="preserve"> </w:t>
      </w:r>
      <w:r w:rsidR="00F710A8">
        <w:t>policies in place to address these gaps</w:t>
      </w:r>
      <w:r w:rsidR="00A14357">
        <w:t xml:space="preserve"> </w:t>
      </w:r>
      <w:r w:rsidR="00085CDF">
        <w:t xml:space="preserve">and identifies </w:t>
      </w:r>
      <w:r w:rsidR="00742967">
        <w:t xml:space="preserve">the </w:t>
      </w:r>
      <w:r w:rsidR="00F710A8">
        <w:t xml:space="preserve">opportunities to </w:t>
      </w:r>
      <w:r>
        <w:t>mainstream</w:t>
      </w:r>
      <w:r w:rsidR="00F710A8">
        <w:t xml:space="preserve"> disability </w:t>
      </w:r>
      <w:r w:rsidR="00742967">
        <w:t>equality</w:t>
      </w:r>
      <w:r w:rsidR="00F710A8">
        <w:t xml:space="preserve"> i</w:t>
      </w:r>
      <w:r w:rsidR="00085CDF">
        <w:t>n the semester review process</w:t>
      </w:r>
      <w:r w:rsidR="00F710A8">
        <w:t xml:space="preserve">.    </w:t>
      </w:r>
    </w:p>
    <w:p w14:paraId="4B38107D" w14:textId="77777777" w:rsidR="0071696A" w:rsidRPr="00AF323E" w:rsidRDefault="0071696A" w:rsidP="0071696A"/>
    <w:p w14:paraId="2911081C" w14:textId="77777777" w:rsidR="0071696A" w:rsidRDefault="0071696A" w:rsidP="0071696A">
      <w:pPr>
        <w:pStyle w:val="Caption"/>
      </w:pPr>
      <w:bookmarkStart w:id="5" w:name="_Ref512929707"/>
      <w:r>
        <w:t xml:space="preserve">Table </w:t>
      </w:r>
      <w:r w:rsidR="00F01BC2">
        <w:rPr>
          <w:noProof/>
        </w:rPr>
        <w:fldChar w:fldCharType="begin"/>
      </w:r>
      <w:r w:rsidR="00F01BC2">
        <w:rPr>
          <w:noProof/>
        </w:rPr>
        <w:instrText xml:space="preserve"> SEQ Table \* ARABIC </w:instrText>
      </w:r>
      <w:r w:rsidR="00F01BC2">
        <w:rPr>
          <w:noProof/>
        </w:rPr>
        <w:fldChar w:fldCharType="separate"/>
      </w:r>
      <w:r w:rsidR="00FE3D2A">
        <w:rPr>
          <w:noProof/>
        </w:rPr>
        <w:t>1</w:t>
      </w:r>
      <w:r w:rsidR="00F01BC2">
        <w:rPr>
          <w:noProof/>
        </w:rPr>
        <w:fldChar w:fldCharType="end"/>
      </w:r>
      <w:bookmarkEnd w:id="5"/>
      <w:r>
        <w:t xml:space="preserve">: </w:t>
      </w:r>
      <w:r w:rsidRPr="00531AD4">
        <w:t xml:space="preserve">Europe 2020 and </w:t>
      </w:r>
      <w:r>
        <w:t>agreed n</w:t>
      </w:r>
      <w:r w:rsidRPr="00531AD4">
        <w:t>ational targets</w:t>
      </w:r>
      <w:r>
        <w:t xml:space="preserve"> for the general population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2"/>
        <w:gridCol w:w="3081"/>
        <w:gridCol w:w="3079"/>
      </w:tblGrid>
      <w:tr w:rsidR="0071696A" w:rsidRPr="0071696A" w14:paraId="4B810B75" w14:textId="77777777" w:rsidTr="00C20007">
        <w:tc>
          <w:tcPr>
            <w:tcW w:w="1667" w:type="pct"/>
            <w:shd w:val="clear" w:color="auto" w:fill="auto"/>
          </w:tcPr>
          <w:p w14:paraId="0D70E3AE" w14:textId="77777777" w:rsidR="0071696A" w:rsidRPr="0071696A" w:rsidRDefault="0071696A" w:rsidP="00C20007">
            <w:pPr>
              <w:rPr>
                <w:b/>
                <w:bCs/>
              </w:rPr>
            </w:pPr>
          </w:p>
        </w:tc>
        <w:tc>
          <w:tcPr>
            <w:tcW w:w="1667" w:type="pct"/>
            <w:shd w:val="clear" w:color="auto" w:fill="auto"/>
          </w:tcPr>
          <w:p w14:paraId="3EDB44F5" w14:textId="77777777" w:rsidR="0071696A" w:rsidRPr="0071696A" w:rsidRDefault="0071696A" w:rsidP="00C20007">
            <w:pPr>
              <w:rPr>
                <w:b/>
                <w:bCs/>
              </w:rPr>
            </w:pPr>
            <w:r w:rsidRPr="0071696A">
              <w:rPr>
                <w:b/>
                <w:bCs/>
              </w:rPr>
              <w:t>Europe 2020 targets</w:t>
            </w:r>
          </w:p>
        </w:tc>
        <w:tc>
          <w:tcPr>
            <w:tcW w:w="1666" w:type="pct"/>
            <w:shd w:val="clear" w:color="auto" w:fill="auto"/>
          </w:tcPr>
          <w:p w14:paraId="7CF12E10" w14:textId="77777777" w:rsidR="0071696A" w:rsidRPr="0071696A" w:rsidRDefault="0071696A" w:rsidP="00C20007">
            <w:pPr>
              <w:rPr>
                <w:b/>
                <w:bCs/>
              </w:rPr>
            </w:pPr>
            <w:r w:rsidRPr="0071696A">
              <w:rPr>
                <w:b/>
                <w:bCs/>
              </w:rPr>
              <w:t>National targets</w:t>
            </w:r>
            <w:r w:rsidRPr="002C6495">
              <w:rPr>
                <w:rStyle w:val="FootnoteReference"/>
                <w:b/>
                <w:bCs/>
                <w:szCs w:val="20"/>
              </w:rPr>
              <w:footnoteReference w:id="2"/>
            </w:r>
          </w:p>
        </w:tc>
      </w:tr>
      <w:tr w:rsidR="0071696A" w:rsidRPr="009B335F" w14:paraId="60A7DD6A" w14:textId="77777777" w:rsidTr="00C20007">
        <w:tc>
          <w:tcPr>
            <w:tcW w:w="1667" w:type="pct"/>
            <w:shd w:val="clear" w:color="auto" w:fill="auto"/>
          </w:tcPr>
          <w:p w14:paraId="30A153B5" w14:textId="77777777" w:rsidR="0071696A" w:rsidRPr="0071696A" w:rsidRDefault="0071696A" w:rsidP="00C20007">
            <w:pPr>
              <w:rPr>
                <w:b/>
                <w:bCs/>
              </w:rPr>
            </w:pPr>
            <w:r w:rsidRPr="0071696A">
              <w:rPr>
                <w:b/>
                <w:bCs/>
              </w:rPr>
              <w:lastRenderedPageBreak/>
              <w:t>Employment</w:t>
            </w:r>
          </w:p>
        </w:tc>
        <w:tc>
          <w:tcPr>
            <w:tcW w:w="1667" w:type="pct"/>
            <w:shd w:val="clear" w:color="auto" w:fill="auto"/>
          </w:tcPr>
          <w:p w14:paraId="3815162E" w14:textId="77777777" w:rsidR="0071696A" w:rsidRPr="009B335F" w:rsidRDefault="0071696A" w:rsidP="00C20007">
            <w:r w:rsidRPr="009B335F">
              <w:t xml:space="preserve">75% of the </w:t>
            </w:r>
            <w:proofErr w:type="gramStart"/>
            <w:r w:rsidRPr="009B335F">
              <w:t>20-64 year-olds</w:t>
            </w:r>
            <w:proofErr w:type="gramEnd"/>
            <w:r w:rsidRPr="009B335F">
              <w:t xml:space="preserve"> to be employed</w:t>
            </w:r>
          </w:p>
        </w:tc>
        <w:tc>
          <w:tcPr>
            <w:tcW w:w="1666" w:type="pct"/>
            <w:shd w:val="clear" w:color="auto" w:fill="auto"/>
          </w:tcPr>
          <w:p w14:paraId="1C00AADF" w14:textId="5217C8C1" w:rsidR="0071696A" w:rsidRPr="009B335F" w:rsidRDefault="00937A0A" w:rsidP="00D71C8B">
            <w:pPr>
              <w:jc w:val="right"/>
            </w:pPr>
            <w:r>
              <w:t>70%</w:t>
            </w:r>
          </w:p>
        </w:tc>
      </w:tr>
      <w:tr w:rsidR="0071696A" w:rsidRPr="009B335F" w14:paraId="0B1261B3" w14:textId="77777777" w:rsidTr="00C20007">
        <w:tc>
          <w:tcPr>
            <w:tcW w:w="1667" w:type="pct"/>
            <w:vMerge w:val="restart"/>
            <w:shd w:val="clear" w:color="auto" w:fill="auto"/>
          </w:tcPr>
          <w:p w14:paraId="22E61263" w14:textId="77777777" w:rsidR="0071696A" w:rsidRPr="0071696A" w:rsidRDefault="0071696A" w:rsidP="00C20007">
            <w:pPr>
              <w:rPr>
                <w:b/>
                <w:bCs/>
              </w:rPr>
            </w:pPr>
            <w:r w:rsidRPr="0071696A">
              <w:rPr>
                <w:b/>
                <w:bCs/>
              </w:rPr>
              <w:t>Education</w:t>
            </w:r>
          </w:p>
        </w:tc>
        <w:tc>
          <w:tcPr>
            <w:tcW w:w="1667" w:type="pct"/>
            <w:shd w:val="clear" w:color="auto" w:fill="auto"/>
          </w:tcPr>
          <w:p w14:paraId="6F5C2280" w14:textId="77777777" w:rsidR="0071696A" w:rsidRPr="009B335F" w:rsidRDefault="0071696A" w:rsidP="00C20007">
            <w:r w:rsidRPr="009B335F">
              <w:t>Reducing the rates of early school leaving below 10%</w:t>
            </w:r>
          </w:p>
        </w:tc>
        <w:tc>
          <w:tcPr>
            <w:tcW w:w="1666" w:type="pct"/>
            <w:shd w:val="clear" w:color="auto" w:fill="auto"/>
          </w:tcPr>
          <w:p w14:paraId="3CA46DBB" w14:textId="757D7584" w:rsidR="0071696A" w:rsidRPr="009B335F" w:rsidRDefault="00937A0A" w:rsidP="00D71C8B">
            <w:pPr>
              <w:jc w:val="right"/>
            </w:pPr>
            <w:r>
              <w:t>10%</w:t>
            </w:r>
          </w:p>
        </w:tc>
      </w:tr>
      <w:tr w:rsidR="0071696A" w:rsidRPr="009B335F" w14:paraId="2B3D74B2" w14:textId="77777777" w:rsidTr="00C20007">
        <w:tc>
          <w:tcPr>
            <w:tcW w:w="1667" w:type="pct"/>
            <w:vMerge/>
            <w:shd w:val="clear" w:color="auto" w:fill="auto"/>
          </w:tcPr>
          <w:p w14:paraId="5B3ABD6F" w14:textId="77777777" w:rsidR="0071696A" w:rsidRPr="0071696A" w:rsidRDefault="0071696A" w:rsidP="00C20007">
            <w:pPr>
              <w:rPr>
                <w:b/>
                <w:bCs/>
              </w:rPr>
            </w:pPr>
          </w:p>
        </w:tc>
        <w:tc>
          <w:tcPr>
            <w:tcW w:w="1667" w:type="pct"/>
            <w:shd w:val="clear" w:color="auto" w:fill="auto"/>
          </w:tcPr>
          <w:p w14:paraId="77822802" w14:textId="77777777" w:rsidR="0071696A" w:rsidRPr="009B335F" w:rsidRDefault="0071696A" w:rsidP="00C20007">
            <w:r w:rsidRPr="009B335F">
              <w:t>At least 40% of 30-34–year-olds completing third level education</w:t>
            </w:r>
          </w:p>
        </w:tc>
        <w:tc>
          <w:tcPr>
            <w:tcW w:w="1666" w:type="pct"/>
            <w:shd w:val="clear" w:color="auto" w:fill="auto"/>
          </w:tcPr>
          <w:p w14:paraId="5745C904" w14:textId="69124E40" w:rsidR="0071696A" w:rsidRPr="009B335F" w:rsidRDefault="00937A0A" w:rsidP="00D71C8B">
            <w:pPr>
              <w:jc w:val="right"/>
            </w:pPr>
            <w:r>
              <w:t>33%</w:t>
            </w:r>
          </w:p>
        </w:tc>
      </w:tr>
      <w:tr w:rsidR="0071696A" w:rsidRPr="009B335F" w14:paraId="21A42F17" w14:textId="77777777" w:rsidTr="00C20007">
        <w:tc>
          <w:tcPr>
            <w:tcW w:w="1667" w:type="pct"/>
            <w:shd w:val="clear" w:color="auto" w:fill="auto"/>
          </w:tcPr>
          <w:p w14:paraId="6FB2AD1F" w14:textId="77777777" w:rsidR="0071696A" w:rsidRPr="0071696A" w:rsidRDefault="0071696A" w:rsidP="00C20007">
            <w:pPr>
              <w:rPr>
                <w:b/>
                <w:bCs/>
              </w:rPr>
            </w:pPr>
            <w:r w:rsidRPr="0071696A">
              <w:rPr>
                <w:b/>
                <w:bCs/>
              </w:rPr>
              <w:t>Fighting poverty and social exclusion</w:t>
            </w:r>
          </w:p>
        </w:tc>
        <w:tc>
          <w:tcPr>
            <w:tcW w:w="1667" w:type="pct"/>
            <w:shd w:val="clear" w:color="auto" w:fill="auto"/>
          </w:tcPr>
          <w:p w14:paraId="34A88402" w14:textId="77777777" w:rsidR="0071696A" w:rsidRPr="009B335F" w:rsidRDefault="0071696A" w:rsidP="00C20007">
            <w:r w:rsidRPr="009B335F">
              <w:t>At least 20 million fewer people in or at risk of poverty and social exclusion</w:t>
            </w:r>
          </w:p>
        </w:tc>
        <w:tc>
          <w:tcPr>
            <w:tcW w:w="1666" w:type="pct"/>
            <w:shd w:val="clear" w:color="auto" w:fill="auto"/>
          </w:tcPr>
          <w:p w14:paraId="3FDD2368" w14:textId="1A423406" w:rsidR="0071696A" w:rsidRPr="009B335F" w:rsidRDefault="00937A0A" w:rsidP="00D71C8B">
            <w:pPr>
              <w:jc w:val="right"/>
            </w:pPr>
            <w:r>
              <w:t>6</w:t>
            </w:r>
            <w:r w:rsidR="00D71C8B">
              <w:t>,</w:t>
            </w:r>
            <w:r>
              <w:t>560</w:t>
            </w:r>
            <w:r w:rsidR="00D71C8B">
              <w:t xml:space="preserve"> fewer</w:t>
            </w:r>
          </w:p>
        </w:tc>
      </w:tr>
    </w:tbl>
    <w:p w14:paraId="7C8261F6" w14:textId="77777777" w:rsidR="00954863" w:rsidRDefault="00954863" w:rsidP="00895667">
      <w:pPr>
        <w:jc w:val="both"/>
      </w:pPr>
    </w:p>
    <w:p w14:paraId="05775EE9" w14:textId="5BC75368" w:rsidR="00005D28" w:rsidRDefault="004808BD" w:rsidP="00895667">
      <w:pPr>
        <w:jc w:val="both"/>
      </w:pPr>
      <w:r>
        <w:t>The statistical annex to this country report provides c</w:t>
      </w:r>
      <w:r w:rsidR="00005D28">
        <w:t xml:space="preserve">omparative indicators of </w:t>
      </w:r>
      <w:r w:rsidR="00011B4F">
        <w:t xml:space="preserve">the </w:t>
      </w:r>
      <w:r w:rsidR="00005D28">
        <w:t xml:space="preserve">disability equality gaps </w:t>
      </w:r>
      <w:r w:rsidR="00011B4F">
        <w:t xml:space="preserve">existing </w:t>
      </w:r>
      <w:r w:rsidR="00005D28">
        <w:t xml:space="preserve">in these target areas (based on ANED’s </w:t>
      </w:r>
      <w:r>
        <w:t xml:space="preserve">annual </w:t>
      </w:r>
      <w:r w:rsidR="00005D28">
        <w:t>analysis of EU-SILC microdata since 2008).</w:t>
      </w:r>
      <w:r w:rsidR="00005D28">
        <w:rPr>
          <w:rStyle w:val="FootnoteReference"/>
        </w:rPr>
        <w:footnoteReference w:id="3"/>
      </w:r>
    </w:p>
    <w:p w14:paraId="51BA6E76" w14:textId="77777777" w:rsidR="003E601D" w:rsidRDefault="003E601D" w:rsidP="004808BD"/>
    <w:p w14:paraId="70427984" w14:textId="77777777" w:rsidR="00F5382C" w:rsidRDefault="00F5382C" w:rsidP="007C58A6">
      <w:pPr>
        <w:pStyle w:val="Heading3"/>
      </w:pPr>
      <w:bookmarkStart w:id="6" w:name="_Toc2697716"/>
      <w:r>
        <w:t>Recommendations from the UN CRPD Committee relevant to EU2020</w:t>
      </w:r>
      <w:bookmarkEnd w:id="6"/>
    </w:p>
    <w:p w14:paraId="5D2F021C" w14:textId="77777777" w:rsidR="00F5382C" w:rsidRDefault="00F5382C" w:rsidP="00F5382C"/>
    <w:p w14:paraId="0413B176" w14:textId="7B02A3E8" w:rsidR="00430879" w:rsidRPr="00A14357" w:rsidRDefault="00430879" w:rsidP="00D71C8B">
      <w:pPr>
        <w:jc w:val="both"/>
      </w:pPr>
      <w:r w:rsidRPr="00A14357">
        <w:t>In its September 2018 concluding observations on the initial report of Malta</w:t>
      </w:r>
      <w:r w:rsidR="00D71C8B" w:rsidRPr="00A14357">
        <w:t>,</w:t>
      </w:r>
      <w:r w:rsidR="00D62CF7" w:rsidRPr="00A14357">
        <w:rPr>
          <w:rStyle w:val="FootnoteReference"/>
        </w:rPr>
        <w:footnoteReference w:id="4"/>
      </w:r>
      <w:r w:rsidRPr="00A14357">
        <w:t xml:space="preserve"> the Committee on the Rights of Persons with Disabilities made the following recommendations: </w:t>
      </w:r>
    </w:p>
    <w:p w14:paraId="028BC12E" w14:textId="77777777" w:rsidR="00430879" w:rsidRPr="00A14357" w:rsidRDefault="00430879" w:rsidP="00430879">
      <w:pPr>
        <w:jc w:val="both"/>
      </w:pPr>
    </w:p>
    <w:p w14:paraId="1DD32A35" w14:textId="2786AE59" w:rsidR="00895C19" w:rsidRPr="00A14357" w:rsidRDefault="00333385" w:rsidP="00F5382C">
      <w:pPr>
        <w:rPr>
          <w:b/>
          <w:bCs/>
        </w:rPr>
      </w:pPr>
      <w:r w:rsidRPr="00A14357">
        <w:rPr>
          <w:b/>
          <w:bCs/>
        </w:rPr>
        <w:t xml:space="preserve">Work and </w:t>
      </w:r>
      <w:r w:rsidR="00A14357">
        <w:rPr>
          <w:b/>
          <w:bCs/>
        </w:rPr>
        <w:t>e</w:t>
      </w:r>
      <w:r w:rsidRPr="00A14357">
        <w:rPr>
          <w:b/>
          <w:bCs/>
        </w:rPr>
        <w:t xml:space="preserve">mployment </w:t>
      </w:r>
      <w:r w:rsidR="00971147" w:rsidRPr="00A14357">
        <w:rPr>
          <w:b/>
          <w:bCs/>
        </w:rPr>
        <w:t>(p.10)</w:t>
      </w:r>
    </w:p>
    <w:p w14:paraId="06C28533" w14:textId="74DB66FE" w:rsidR="00430879" w:rsidRDefault="00167EFD" w:rsidP="00F5382C">
      <w:r w:rsidRPr="00A14357">
        <w:t xml:space="preserve">Noting its concern regarding </w:t>
      </w:r>
      <w:r w:rsidR="00971147" w:rsidRPr="00A14357">
        <w:t>‘</w:t>
      </w:r>
      <w:r w:rsidRPr="00A14357">
        <w:t>the low level of employment of persons with disabilities in the public and private sector</w:t>
      </w:r>
      <w:r w:rsidR="00971147" w:rsidRPr="00A14357">
        <w:t>’</w:t>
      </w:r>
      <w:r w:rsidRPr="00A14357">
        <w:t>, the Committee recommended that Malta:</w:t>
      </w:r>
    </w:p>
    <w:p w14:paraId="200B163C" w14:textId="77777777" w:rsidR="00A14357" w:rsidRPr="00A14357" w:rsidRDefault="00A14357" w:rsidP="00F5382C"/>
    <w:p w14:paraId="762147A8" w14:textId="6460CE4B" w:rsidR="004F36CD" w:rsidRPr="00A14357" w:rsidRDefault="00971147" w:rsidP="00A14357">
      <w:pPr>
        <w:pStyle w:val="ListParagraph"/>
        <w:numPr>
          <w:ilvl w:val="0"/>
          <w:numId w:val="36"/>
        </w:numPr>
        <w:ind w:left="567" w:hanging="567"/>
        <w:jc w:val="both"/>
      </w:pPr>
      <w:r w:rsidRPr="00A14357">
        <w:t>‘</w:t>
      </w:r>
      <w:r w:rsidR="0002176B" w:rsidRPr="00A14357">
        <w:t>Adopts further enforcement mechanisms and incentives to ensure the implementation of the quota system</w:t>
      </w:r>
      <w:r w:rsidRPr="00A14357">
        <w:t>’</w:t>
      </w:r>
      <w:r w:rsidR="0002176B" w:rsidRPr="00A14357">
        <w:t xml:space="preserve"> </w:t>
      </w:r>
      <w:r w:rsidR="006967A8" w:rsidRPr="00A14357">
        <w:t xml:space="preserve">and </w:t>
      </w:r>
      <w:r w:rsidRPr="00A14357">
        <w:t>‘</w:t>
      </w:r>
      <w:r w:rsidR="006967A8" w:rsidRPr="00A14357">
        <w:t>other measures to support persons with disabilities to work in the open labour market and ensure</w:t>
      </w:r>
      <w:r w:rsidRPr="00A14357">
        <w:t>s</w:t>
      </w:r>
      <w:r w:rsidR="006967A8" w:rsidRPr="00A14357">
        <w:t xml:space="preserve"> the achievement of full and productive employment and decent work for all</w:t>
      </w:r>
      <w:r w:rsidRPr="00A14357">
        <w:t>’</w:t>
      </w:r>
      <w:r w:rsidR="006967A8" w:rsidRPr="00A14357">
        <w:t>.</w:t>
      </w:r>
      <w:r w:rsidR="00A14357">
        <w:t xml:space="preserve"> </w:t>
      </w:r>
      <w:r w:rsidR="006967A8" w:rsidRPr="00A14357">
        <w:t xml:space="preserve">Amends article 17 (3) of the </w:t>
      </w:r>
      <w:r w:rsidR="004F36CD" w:rsidRPr="00A14357">
        <w:t xml:space="preserve">Constitution – that states that “disabled persons and persons incapable of work are entitled to education and vocational training” </w:t>
      </w:r>
      <w:r w:rsidR="003E24DC" w:rsidRPr="00A14357">
        <w:t xml:space="preserve">– </w:t>
      </w:r>
      <w:r w:rsidRPr="00A14357">
        <w:t>‘</w:t>
      </w:r>
      <w:r w:rsidR="003E24DC" w:rsidRPr="00A14357">
        <w:t xml:space="preserve">to </w:t>
      </w:r>
      <w:r w:rsidR="004F36CD" w:rsidRPr="00A14357">
        <w:t>bring it in line with article 27</w:t>
      </w:r>
      <w:r w:rsidRPr="00A14357">
        <w:t>’</w:t>
      </w:r>
      <w:r w:rsidR="004F36CD" w:rsidRPr="00A14357">
        <w:t xml:space="preserve"> of the UNCRPD.</w:t>
      </w:r>
    </w:p>
    <w:p w14:paraId="7689DD28" w14:textId="11E70447" w:rsidR="004F36CD" w:rsidRPr="00A14357" w:rsidRDefault="004F36CD" w:rsidP="00A14357">
      <w:pPr>
        <w:pStyle w:val="ListParagraph"/>
        <w:numPr>
          <w:ilvl w:val="0"/>
          <w:numId w:val="36"/>
        </w:numPr>
        <w:ind w:left="567" w:hanging="567"/>
        <w:jc w:val="both"/>
      </w:pPr>
      <w:r w:rsidRPr="00A14357">
        <w:t xml:space="preserve">Reviews the quota system </w:t>
      </w:r>
      <w:r w:rsidR="00971147" w:rsidRPr="00A14357">
        <w:t>‘</w:t>
      </w:r>
      <w:proofErr w:type="gramStart"/>
      <w:r w:rsidRPr="00A14357">
        <w:t>in order to</w:t>
      </w:r>
      <w:proofErr w:type="gramEnd"/>
      <w:r w:rsidRPr="00A14357">
        <w:t xml:space="preserve"> make it applicable to enterprises with less than 20 employees</w:t>
      </w:r>
      <w:r w:rsidR="00971147" w:rsidRPr="00A14357">
        <w:t>’</w:t>
      </w:r>
      <w:r w:rsidRPr="00A14357">
        <w:t xml:space="preserve">, since the current quota system seems </w:t>
      </w:r>
      <w:r w:rsidR="003E24DC" w:rsidRPr="00A14357">
        <w:t xml:space="preserve">to be </w:t>
      </w:r>
      <w:r w:rsidR="00971147" w:rsidRPr="00A14357">
        <w:t>‘</w:t>
      </w:r>
      <w:r w:rsidRPr="00A14357">
        <w:t>ineffective</w:t>
      </w:r>
      <w:r w:rsidR="00971147" w:rsidRPr="00A14357">
        <w:t>’</w:t>
      </w:r>
      <w:r w:rsidRPr="00A14357">
        <w:t xml:space="preserve">. </w:t>
      </w:r>
    </w:p>
    <w:p w14:paraId="6B2F8709" w14:textId="5FCF4D2F" w:rsidR="001B6F82" w:rsidRPr="00A14357" w:rsidRDefault="004F36CD" w:rsidP="00A14357">
      <w:pPr>
        <w:pStyle w:val="ListParagraph"/>
        <w:numPr>
          <w:ilvl w:val="0"/>
          <w:numId w:val="36"/>
        </w:numPr>
        <w:ind w:left="567" w:hanging="567"/>
        <w:jc w:val="both"/>
      </w:pPr>
      <w:r w:rsidRPr="00A14357">
        <w:t xml:space="preserve">Replaces </w:t>
      </w:r>
      <w:r w:rsidR="00971147" w:rsidRPr="00A14357">
        <w:t>‘</w:t>
      </w:r>
      <w:r w:rsidRPr="00A14357">
        <w:t xml:space="preserve">any assessment of suitability to work with an assessment that considers the needs and requirements for reasonable accommodation at work for persons with </w:t>
      </w:r>
      <w:proofErr w:type="gramStart"/>
      <w:r w:rsidRPr="00A14357">
        <w:t>disabilities</w:t>
      </w:r>
      <w:r w:rsidR="00971147" w:rsidRPr="00A14357">
        <w:t>’</w:t>
      </w:r>
      <w:proofErr w:type="gramEnd"/>
      <w:r w:rsidRPr="00A14357">
        <w:t>.</w:t>
      </w:r>
      <w:r w:rsidR="001B6F82" w:rsidRPr="00A14357">
        <w:t xml:space="preserve"> Currently, Malta </w:t>
      </w:r>
      <w:r w:rsidR="00971147" w:rsidRPr="00A14357">
        <w:t>‘</w:t>
      </w:r>
      <w:r w:rsidR="001B6F82" w:rsidRPr="00A14357">
        <w:t>uses medicalised criteria to assess the suitability of persons with disabilities to work</w:t>
      </w:r>
      <w:r w:rsidR="00971147" w:rsidRPr="00A14357">
        <w:t>’</w:t>
      </w:r>
      <w:r w:rsidR="001B6F82" w:rsidRPr="00A14357">
        <w:t>, which is in violation of article 1 of the UNCRPD.</w:t>
      </w:r>
    </w:p>
    <w:p w14:paraId="5A78F6FE" w14:textId="6B484088" w:rsidR="006967A8" w:rsidRPr="00A14357" w:rsidRDefault="001B6F82" w:rsidP="00A14357">
      <w:pPr>
        <w:pStyle w:val="ListParagraph"/>
        <w:numPr>
          <w:ilvl w:val="0"/>
          <w:numId w:val="36"/>
        </w:numPr>
        <w:ind w:left="567" w:hanging="567"/>
        <w:jc w:val="both"/>
      </w:pPr>
      <w:r w:rsidRPr="00A14357">
        <w:lastRenderedPageBreak/>
        <w:t>Step</w:t>
      </w:r>
      <w:r w:rsidR="00F53CCB" w:rsidRPr="00A14357">
        <w:t>s</w:t>
      </w:r>
      <w:r w:rsidRPr="00A14357">
        <w:t xml:space="preserve"> up </w:t>
      </w:r>
      <w:r w:rsidR="00971147" w:rsidRPr="00A14357">
        <w:t>‘</w:t>
      </w:r>
      <w:r w:rsidRPr="00A14357">
        <w:t>efforts to raise awareness among employers on the rights of persons with disabilities to work in the open labour market</w:t>
      </w:r>
      <w:r w:rsidR="00971147" w:rsidRPr="00A14357">
        <w:t>’</w:t>
      </w:r>
      <w:r w:rsidRPr="00A14357">
        <w:t xml:space="preserve"> (particularly the provision of reasonable accommodation)</w:t>
      </w:r>
      <w:r w:rsidR="00971147" w:rsidRPr="00A14357">
        <w:t>,</w:t>
      </w:r>
      <w:r w:rsidRPr="00A14357">
        <w:t xml:space="preserve"> </w:t>
      </w:r>
      <w:r w:rsidR="00971147" w:rsidRPr="00A14357">
        <w:t>‘</w:t>
      </w:r>
      <w:r w:rsidRPr="00A14357">
        <w:t>and on the benefits of employing persons with disabilities</w:t>
      </w:r>
      <w:r w:rsidR="00971147" w:rsidRPr="00A14357">
        <w:t>’</w:t>
      </w:r>
      <w:r w:rsidRPr="00A14357">
        <w:t xml:space="preserve">. This recommendation comes in view of the </w:t>
      </w:r>
      <w:r w:rsidR="00971147" w:rsidRPr="00A14357">
        <w:t>‘</w:t>
      </w:r>
      <w:r w:rsidRPr="00A14357">
        <w:t>high number of employers who do not e</w:t>
      </w:r>
      <w:r w:rsidR="00971147" w:rsidRPr="00A14357">
        <w:t>mploy persons with disabilities</w:t>
      </w:r>
      <w:r w:rsidRPr="00A14357">
        <w:t xml:space="preserve"> irrespective of their ability to work</w:t>
      </w:r>
      <w:r w:rsidR="00971147" w:rsidRPr="00A14357">
        <w:t>’</w:t>
      </w:r>
      <w:r w:rsidRPr="00A14357">
        <w:t xml:space="preserve">. </w:t>
      </w:r>
    </w:p>
    <w:p w14:paraId="6EF6EEC5" w14:textId="77777777" w:rsidR="006967A8" w:rsidRPr="00A14357" w:rsidRDefault="006967A8" w:rsidP="006967A8">
      <w:pPr>
        <w:jc w:val="both"/>
      </w:pPr>
    </w:p>
    <w:p w14:paraId="52A1CE40" w14:textId="4DE07FAA" w:rsidR="006967A8" w:rsidRPr="00A14357" w:rsidRDefault="001B6F82" w:rsidP="006967A8">
      <w:pPr>
        <w:jc w:val="both"/>
        <w:rPr>
          <w:b/>
          <w:bCs/>
        </w:rPr>
      </w:pPr>
      <w:r w:rsidRPr="00A14357">
        <w:rPr>
          <w:b/>
          <w:bCs/>
        </w:rPr>
        <w:t xml:space="preserve">Education </w:t>
      </w:r>
      <w:r w:rsidR="00971147" w:rsidRPr="00A14357">
        <w:rPr>
          <w:b/>
          <w:bCs/>
        </w:rPr>
        <w:t>(p.9)</w:t>
      </w:r>
    </w:p>
    <w:p w14:paraId="24723D20" w14:textId="63BF10B0" w:rsidR="006967A8" w:rsidRDefault="001B6F82" w:rsidP="006967A8">
      <w:pPr>
        <w:jc w:val="both"/>
      </w:pPr>
      <w:r w:rsidRPr="00A14357">
        <w:t xml:space="preserve">Noting its concern that </w:t>
      </w:r>
      <w:r w:rsidR="00971147" w:rsidRPr="00A14357">
        <w:t>‘</w:t>
      </w:r>
      <w:r w:rsidRPr="00A14357">
        <w:t>the concept of inclusive education is not fully applied</w:t>
      </w:r>
      <w:r w:rsidR="00971147" w:rsidRPr="00A14357">
        <w:t>’</w:t>
      </w:r>
      <w:r w:rsidRPr="00A14357">
        <w:t xml:space="preserve"> in Malta, the Committee recommended that Malta:</w:t>
      </w:r>
    </w:p>
    <w:p w14:paraId="33F019AA" w14:textId="77777777" w:rsidR="00A14357" w:rsidRPr="00A14357" w:rsidRDefault="00A14357" w:rsidP="006967A8">
      <w:pPr>
        <w:jc w:val="both"/>
      </w:pPr>
    </w:p>
    <w:p w14:paraId="17F34BD7" w14:textId="7FB84F78" w:rsidR="001B6F82" w:rsidRPr="00A14357" w:rsidRDefault="001B6F82" w:rsidP="00A14357">
      <w:pPr>
        <w:pStyle w:val="ListParagraph"/>
        <w:numPr>
          <w:ilvl w:val="0"/>
          <w:numId w:val="39"/>
        </w:numPr>
        <w:ind w:left="567" w:hanging="567"/>
        <w:jc w:val="both"/>
      </w:pPr>
      <w:r w:rsidRPr="00A14357">
        <w:t xml:space="preserve">Ensures </w:t>
      </w:r>
      <w:r w:rsidR="00971147" w:rsidRPr="00A14357">
        <w:t>‘</w:t>
      </w:r>
      <w:r w:rsidRPr="00A14357">
        <w:t>the implementation</w:t>
      </w:r>
      <w:r w:rsidR="00AE7CB4" w:rsidRPr="00A14357">
        <w:t xml:space="preserve"> of laws on education</w:t>
      </w:r>
      <w:r w:rsidR="00971147" w:rsidRPr="00A14357">
        <w:t>’</w:t>
      </w:r>
      <w:r w:rsidR="00A14357">
        <w:t xml:space="preserve"> </w:t>
      </w:r>
      <w:r w:rsidR="00AE7CB4" w:rsidRPr="00A14357">
        <w:t xml:space="preserve">and accelerates </w:t>
      </w:r>
      <w:r w:rsidR="00971147" w:rsidRPr="00A14357">
        <w:t>‘</w:t>
      </w:r>
      <w:r w:rsidR="00AE7CB4" w:rsidRPr="00A14357">
        <w:t>the adoption process of the UN</w:t>
      </w:r>
      <w:r w:rsidR="00D74107" w:rsidRPr="00A14357">
        <w:t xml:space="preserve"> </w:t>
      </w:r>
      <w:r w:rsidR="00AE7CB4" w:rsidRPr="00A14357">
        <w:t>CRPD Bill</w:t>
      </w:r>
      <w:r w:rsidR="00971147" w:rsidRPr="00A14357">
        <w:t>,</w:t>
      </w:r>
      <w:r w:rsidRPr="00A14357">
        <w:t xml:space="preserve"> </w:t>
      </w:r>
      <w:r w:rsidR="0022347B" w:rsidRPr="00A14357">
        <w:t>to ensure that the violations of all rights under article 24</w:t>
      </w:r>
      <w:r w:rsidR="00971147" w:rsidRPr="00A14357">
        <w:t>’</w:t>
      </w:r>
      <w:r w:rsidR="0022347B" w:rsidRPr="00A14357">
        <w:t xml:space="preserve"> of the UNCRPD </w:t>
      </w:r>
      <w:r w:rsidR="00971147" w:rsidRPr="00A14357">
        <w:t>‘</w:t>
      </w:r>
      <w:r w:rsidR="0022347B" w:rsidRPr="00A14357">
        <w:t>become justiciable</w:t>
      </w:r>
      <w:r w:rsidR="00971147" w:rsidRPr="00A14357">
        <w:t>’</w:t>
      </w:r>
      <w:r w:rsidR="0022347B" w:rsidRPr="00A14357">
        <w:t>.</w:t>
      </w:r>
    </w:p>
    <w:p w14:paraId="4013D45A" w14:textId="5E371656" w:rsidR="0022347B" w:rsidRPr="00A14357" w:rsidRDefault="0022347B" w:rsidP="00A14357">
      <w:pPr>
        <w:pStyle w:val="ListParagraph"/>
        <w:numPr>
          <w:ilvl w:val="0"/>
          <w:numId w:val="39"/>
        </w:numPr>
        <w:ind w:left="567" w:hanging="567"/>
        <w:jc w:val="both"/>
      </w:pPr>
      <w:r w:rsidRPr="00A14357">
        <w:t>Since the number of Learning Supp</w:t>
      </w:r>
      <w:r w:rsidR="00795A88" w:rsidRPr="00A14357">
        <w:t xml:space="preserve">ort Educators (LSEs) </w:t>
      </w:r>
      <w:r w:rsidR="00971147" w:rsidRPr="00A14357">
        <w:t>‘</w:t>
      </w:r>
      <w:r w:rsidR="00795A88" w:rsidRPr="00A14357">
        <w:t>is insufficient</w:t>
      </w:r>
      <w:r w:rsidR="00971147" w:rsidRPr="00A14357">
        <w:t>’</w:t>
      </w:r>
      <w:r w:rsidR="00795A88" w:rsidRPr="00A14357">
        <w:t xml:space="preserve"> and </w:t>
      </w:r>
      <w:r w:rsidR="00971147" w:rsidRPr="00A14357">
        <w:t>‘</w:t>
      </w:r>
      <w:r w:rsidR="00795A88" w:rsidRPr="00A14357">
        <w:t>resour</w:t>
      </w:r>
      <w:r w:rsidRPr="00A14357">
        <w:t>ces are lacking to ensure their replacement</w:t>
      </w:r>
      <w:r w:rsidR="00971147" w:rsidRPr="00A14357">
        <w:t>,</w:t>
      </w:r>
      <w:r w:rsidRPr="00A14357">
        <w:t xml:space="preserve"> in case of absence</w:t>
      </w:r>
      <w:r w:rsidR="00971147" w:rsidRPr="00A14357">
        <w:t>’</w:t>
      </w:r>
      <w:r w:rsidRPr="00A14357">
        <w:t>, the Committee recommended that Malta adopt</w:t>
      </w:r>
      <w:r w:rsidR="00F53CCB" w:rsidRPr="00A14357">
        <w:t>s</w:t>
      </w:r>
      <w:r w:rsidRPr="00A14357">
        <w:t xml:space="preserve"> measures to ensure that students with </w:t>
      </w:r>
      <w:r w:rsidR="00795A88" w:rsidRPr="00A14357">
        <w:t xml:space="preserve">all kinds of </w:t>
      </w:r>
      <w:r w:rsidRPr="00A14357">
        <w:t xml:space="preserve">disabilities </w:t>
      </w:r>
      <w:r w:rsidR="00971147" w:rsidRPr="00A14357">
        <w:t>‘</w:t>
      </w:r>
      <w:r w:rsidR="00795A88" w:rsidRPr="00A14357">
        <w:t>are provided with reasonable accommodation at all levels of education and allocates the resources necessary to guarantee</w:t>
      </w:r>
      <w:r w:rsidR="00971147" w:rsidRPr="00A14357">
        <w:t>’</w:t>
      </w:r>
      <w:r w:rsidR="00795A88" w:rsidRPr="00A14357">
        <w:t xml:space="preserve"> this accommodation. This should be done according to the individual requirements</w:t>
      </w:r>
      <w:r w:rsidR="00F53CCB" w:rsidRPr="00A14357">
        <w:t xml:space="preserve"> and</w:t>
      </w:r>
      <w:r w:rsidR="00795A88" w:rsidRPr="00A14357">
        <w:t xml:space="preserve"> </w:t>
      </w:r>
      <w:r w:rsidR="00971147" w:rsidRPr="00A14357">
        <w:t>‘i</w:t>
      </w:r>
      <w:r w:rsidR="00795A88" w:rsidRPr="00A14357">
        <w:t>n consultation with the person concerned</w:t>
      </w:r>
      <w:r w:rsidR="00971147" w:rsidRPr="00A14357">
        <w:t>’</w:t>
      </w:r>
      <w:r w:rsidR="003E24DC" w:rsidRPr="00A14357">
        <w:t xml:space="preserve">. </w:t>
      </w:r>
    </w:p>
    <w:p w14:paraId="54AE7A6E" w14:textId="56AC6D22" w:rsidR="003E24DC" w:rsidRPr="00A14357" w:rsidRDefault="003E24DC" w:rsidP="00A14357">
      <w:pPr>
        <w:pStyle w:val="ListParagraph"/>
        <w:numPr>
          <w:ilvl w:val="0"/>
          <w:numId w:val="39"/>
        </w:numPr>
        <w:ind w:left="567" w:hanging="567"/>
        <w:jc w:val="both"/>
      </w:pPr>
      <w:r w:rsidRPr="00A14357">
        <w:t xml:space="preserve">Ensures </w:t>
      </w:r>
      <w:r w:rsidR="00516AE6" w:rsidRPr="00A14357">
        <w:t>‘</w:t>
      </w:r>
      <w:r w:rsidRPr="00A14357">
        <w:t>accessible mechanisms for accountability and redress in cases where educational institutions</w:t>
      </w:r>
      <w:r w:rsidR="00516AE6" w:rsidRPr="00A14357">
        <w:t>’</w:t>
      </w:r>
      <w:r w:rsidRPr="00A14357">
        <w:t xml:space="preserve"> (e.g. childcare centres and summer schools) </w:t>
      </w:r>
      <w:r w:rsidR="00516AE6" w:rsidRPr="00A14357">
        <w:t>‘</w:t>
      </w:r>
      <w:r w:rsidRPr="00A14357">
        <w:t>or teachers</w:t>
      </w:r>
      <w:r w:rsidR="00516AE6" w:rsidRPr="00A14357">
        <w:t>,</w:t>
      </w:r>
      <w:r w:rsidRPr="00A14357">
        <w:t xml:space="preserve"> discriminate against students </w:t>
      </w:r>
      <w:proofErr w:type="gramStart"/>
      <w:r w:rsidRPr="00A14357">
        <w:t>on the basis of</w:t>
      </w:r>
      <w:proofErr w:type="gramEnd"/>
      <w:r w:rsidRPr="00A14357">
        <w:t xml:space="preserve"> their disability</w:t>
      </w:r>
      <w:r w:rsidR="00516AE6" w:rsidRPr="00A14357">
        <w:t>’</w:t>
      </w:r>
      <w:r w:rsidRPr="00A14357">
        <w:t xml:space="preserve">. </w:t>
      </w:r>
    </w:p>
    <w:p w14:paraId="6AF791FB" w14:textId="05A30DBB" w:rsidR="003E24DC" w:rsidRPr="00A14357" w:rsidRDefault="003E24DC" w:rsidP="00A14357">
      <w:pPr>
        <w:pStyle w:val="ListParagraph"/>
        <w:numPr>
          <w:ilvl w:val="0"/>
          <w:numId w:val="39"/>
        </w:numPr>
        <w:ind w:left="567" w:hanging="567"/>
        <w:jc w:val="both"/>
      </w:pPr>
      <w:r w:rsidRPr="00A14357">
        <w:t xml:space="preserve">Reviews </w:t>
      </w:r>
      <w:r w:rsidR="00516AE6" w:rsidRPr="00A14357">
        <w:t>‘</w:t>
      </w:r>
      <w:r w:rsidRPr="00A14357">
        <w:t>the curriculum of students with disabilities through Individualised Education Plans (IEPs) to ensure that the curricula allow them to lea</w:t>
      </w:r>
      <w:r w:rsidR="00F53CCB" w:rsidRPr="00A14357">
        <w:t>r</w:t>
      </w:r>
      <w:r w:rsidRPr="00A14357">
        <w:t xml:space="preserve">n the skills required to access the job market on an equal basis with </w:t>
      </w:r>
      <w:proofErr w:type="gramStart"/>
      <w:r w:rsidRPr="00A14357">
        <w:t>others</w:t>
      </w:r>
      <w:r w:rsidR="00516AE6" w:rsidRPr="00A14357">
        <w:t>’</w:t>
      </w:r>
      <w:proofErr w:type="gramEnd"/>
      <w:r w:rsidRPr="00A14357">
        <w:t xml:space="preserve">. This recommendation comes </w:t>
      </w:r>
      <w:proofErr w:type="gramStart"/>
      <w:r w:rsidRPr="00A14357">
        <w:t>in view of the fact that</w:t>
      </w:r>
      <w:proofErr w:type="gramEnd"/>
      <w:r w:rsidRPr="00A14357">
        <w:t xml:space="preserve"> many </w:t>
      </w:r>
      <w:r w:rsidR="00516AE6" w:rsidRPr="00A14357">
        <w:t>‘</w:t>
      </w:r>
      <w:r w:rsidRPr="00A14357">
        <w:t>students with disabilities attend skills training at Resource Centres during their secondary education</w:t>
      </w:r>
      <w:r w:rsidR="00516AE6" w:rsidRPr="00A14357">
        <w:t>’</w:t>
      </w:r>
      <w:r w:rsidRPr="00A14357">
        <w:t xml:space="preserve"> or after its completion: this secludes them </w:t>
      </w:r>
      <w:r w:rsidR="00516AE6" w:rsidRPr="00A14357">
        <w:t>‘</w:t>
      </w:r>
      <w:r w:rsidRPr="00A14357">
        <w:t>from their peers</w:t>
      </w:r>
      <w:r w:rsidR="00516AE6" w:rsidRPr="00A14357">
        <w:t>’</w:t>
      </w:r>
      <w:r w:rsidRPr="00A14357">
        <w:t xml:space="preserve"> and they </w:t>
      </w:r>
      <w:r w:rsidR="00516AE6" w:rsidRPr="00A14357">
        <w:t>‘</w:t>
      </w:r>
      <w:r w:rsidRPr="00A14357">
        <w:t>are often distant from their school and home</w:t>
      </w:r>
      <w:r w:rsidR="00516AE6" w:rsidRPr="00A14357">
        <w:t>’</w:t>
      </w:r>
      <w:r w:rsidRPr="00A14357">
        <w:t xml:space="preserve">. </w:t>
      </w:r>
    </w:p>
    <w:p w14:paraId="10454F53" w14:textId="3F9C06F3" w:rsidR="003E24DC" w:rsidRPr="00A14357" w:rsidRDefault="00516AE6" w:rsidP="00A14357">
      <w:pPr>
        <w:pStyle w:val="ListParagraph"/>
        <w:numPr>
          <w:ilvl w:val="0"/>
          <w:numId w:val="39"/>
        </w:numPr>
        <w:ind w:left="567" w:hanging="567"/>
        <w:jc w:val="both"/>
      </w:pPr>
      <w:r w:rsidRPr="00A14357">
        <w:t>Conducts</w:t>
      </w:r>
      <w:r w:rsidR="003E24DC" w:rsidRPr="00A14357">
        <w:t xml:space="preserve"> </w:t>
      </w:r>
      <w:r w:rsidRPr="00A14357">
        <w:t>‘</w:t>
      </w:r>
      <w:r w:rsidR="003E24DC" w:rsidRPr="00A14357">
        <w:t>research on the extent to which accessibility standards are being complied</w:t>
      </w:r>
      <w:r w:rsidRPr="00A14357">
        <w:t>’</w:t>
      </w:r>
      <w:r w:rsidR="003E24DC" w:rsidRPr="00A14357">
        <w:t xml:space="preserve"> to in Malta, in order </w:t>
      </w:r>
      <w:r w:rsidRPr="00A14357">
        <w:t>‘</w:t>
      </w:r>
      <w:r w:rsidR="003E24DC" w:rsidRPr="00A14357">
        <w:t>to obtain a full understanding of the barriers that persons with disabiliti</w:t>
      </w:r>
      <w:r w:rsidRPr="00A14357">
        <w:t>es face in the education system’</w:t>
      </w:r>
      <w:r w:rsidR="003E24DC" w:rsidRPr="00A14357">
        <w:t xml:space="preserve"> and the solutions required to enable their full participation. The </w:t>
      </w:r>
      <w:r w:rsidR="00096F1E" w:rsidRPr="00A14357">
        <w:t>‘</w:t>
      </w:r>
      <w:r w:rsidR="003E24DC" w:rsidRPr="00A14357">
        <w:t>research findings on the socio-economic and cultural benefits of inclusive education</w:t>
      </w:r>
      <w:r w:rsidR="00096F1E" w:rsidRPr="00A14357">
        <w:t>’</w:t>
      </w:r>
      <w:r w:rsidR="00F53CCB" w:rsidRPr="00A14357">
        <w:t xml:space="preserve"> </w:t>
      </w:r>
      <w:r w:rsidR="003E24DC" w:rsidRPr="00A14357">
        <w:t xml:space="preserve">should be made </w:t>
      </w:r>
      <w:r w:rsidR="00096F1E" w:rsidRPr="00A14357">
        <w:t>‘</w:t>
      </w:r>
      <w:r w:rsidR="003E24DC" w:rsidRPr="00A14357">
        <w:t>available to all relevant stakeholders</w:t>
      </w:r>
      <w:r w:rsidR="00096F1E" w:rsidRPr="00A14357">
        <w:t>’</w:t>
      </w:r>
      <w:r w:rsidR="003E24DC" w:rsidRPr="00A14357">
        <w:t xml:space="preserve">. </w:t>
      </w:r>
    </w:p>
    <w:p w14:paraId="049E557A" w14:textId="77777777" w:rsidR="006967A8" w:rsidRPr="00A14357" w:rsidRDefault="006967A8" w:rsidP="006967A8">
      <w:pPr>
        <w:jc w:val="both"/>
      </w:pPr>
    </w:p>
    <w:p w14:paraId="4941EC15" w14:textId="187F389A" w:rsidR="006967A8" w:rsidRPr="00A14357" w:rsidRDefault="005441A6" w:rsidP="006967A8">
      <w:pPr>
        <w:jc w:val="both"/>
        <w:rPr>
          <w:b/>
          <w:bCs/>
        </w:rPr>
      </w:pPr>
      <w:r w:rsidRPr="00A14357">
        <w:rPr>
          <w:b/>
          <w:bCs/>
        </w:rPr>
        <w:t xml:space="preserve">Social </w:t>
      </w:r>
      <w:r w:rsidR="00A14357">
        <w:rPr>
          <w:b/>
          <w:bCs/>
        </w:rPr>
        <w:t>e</w:t>
      </w:r>
      <w:r w:rsidRPr="00A14357">
        <w:rPr>
          <w:b/>
          <w:bCs/>
        </w:rPr>
        <w:t>xclusion</w:t>
      </w:r>
      <w:r w:rsidR="00096F1E" w:rsidRPr="00A14357">
        <w:rPr>
          <w:b/>
          <w:bCs/>
        </w:rPr>
        <w:t xml:space="preserve"> (p.8)</w:t>
      </w:r>
      <w:r w:rsidRPr="00A14357">
        <w:rPr>
          <w:b/>
          <w:bCs/>
        </w:rPr>
        <w:t xml:space="preserve"> </w:t>
      </w:r>
    </w:p>
    <w:p w14:paraId="764483ED" w14:textId="63AB1DFF" w:rsidR="005441A6" w:rsidRDefault="00176593" w:rsidP="00D71C8B">
      <w:pPr>
        <w:jc w:val="both"/>
      </w:pPr>
      <w:r w:rsidRPr="00A14357">
        <w:t xml:space="preserve">Noting its concern that Malta </w:t>
      </w:r>
      <w:r w:rsidR="00096F1E" w:rsidRPr="00A14357">
        <w:t>‘continues to institutionaliz</w:t>
      </w:r>
      <w:r w:rsidRPr="00A14357">
        <w:t xml:space="preserve">e persons with disabilities and has not yet adopted a national legislation incorporating the legal provisions of </w:t>
      </w:r>
      <w:r w:rsidR="00D71C8B" w:rsidRPr="00A14357">
        <w:t>A</w:t>
      </w:r>
      <w:r w:rsidRPr="00A14357">
        <w:t>rticle 19</w:t>
      </w:r>
      <w:r w:rsidR="00096F1E" w:rsidRPr="00A14357">
        <w:t>’</w:t>
      </w:r>
      <w:r w:rsidRPr="00A14357">
        <w:t xml:space="preserve"> of the UNCRPD so that these provisions </w:t>
      </w:r>
      <w:r w:rsidR="00096F1E" w:rsidRPr="00A14357">
        <w:t>‘</w:t>
      </w:r>
      <w:r w:rsidRPr="00A14357">
        <w:t>become directly justiciable</w:t>
      </w:r>
      <w:r w:rsidR="00096F1E" w:rsidRPr="00A14357">
        <w:t>’</w:t>
      </w:r>
      <w:r w:rsidRPr="00A14357">
        <w:t xml:space="preserve"> and tools for their enforcement are provided; and noting also its concern at the limited </w:t>
      </w:r>
      <w:r w:rsidR="00096F1E" w:rsidRPr="00A14357">
        <w:t>‘</w:t>
      </w:r>
      <w:r w:rsidRPr="00A14357">
        <w:t>financial support to persons with disabilities to employ personal assistance that would allow them to live independently and the lack of skills training personnel to support persons with disabilities in the community</w:t>
      </w:r>
      <w:r w:rsidR="00096F1E" w:rsidRPr="00A14357">
        <w:t>’</w:t>
      </w:r>
      <w:r w:rsidRPr="00A14357">
        <w:t xml:space="preserve">, the Committee recommended that Malta: </w:t>
      </w:r>
    </w:p>
    <w:p w14:paraId="36AAA65D" w14:textId="77777777" w:rsidR="00A14357" w:rsidRPr="00A14357" w:rsidRDefault="00A14357" w:rsidP="00D71C8B">
      <w:pPr>
        <w:jc w:val="both"/>
      </w:pPr>
    </w:p>
    <w:p w14:paraId="3270F17B" w14:textId="03A17584" w:rsidR="00F33B2B" w:rsidRPr="00A14357" w:rsidRDefault="00F33B2B" w:rsidP="00A14357">
      <w:pPr>
        <w:pStyle w:val="ListParagraph"/>
        <w:numPr>
          <w:ilvl w:val="0"/>
          <w:numId w:val="40"/>
        </w:numPr>
        <w:ind w:left="567" w:hanging="567"/>
        <w:jc w:val="both"/>
      </w:pPr>
      <w:r w:rsidRPr="00A14357">
        <w:lastRenderedPageBreak/>
        <w:t xml:space="preserve">Ensures </w:t>
      </w:r>
      <w:r w:rsidR="00D74107" w:rsidRPr="00A14357">
        <w:t>‘</w:t>
      </w:r>
      <w:r w:rsidRPr="00A14357">
        <w:t>that existing residential institutions that contribute to the seclusion of persons with disabilities are closed and that the provision of appropriate community-based services is strengthened</w:t>
      </w:r>
      <w:r w:rsidR="00D74107" w:rsidRPr="00A14357">
        <w:t>’</w:t>
      </w:r>
      <w:r w:rsidRPr="00A14357">
        <w:t xml:space="preserve">. </w:t>
      </w:r>
    </w:p>
    <w:p w14:paraId="31ECCE2E" w14:textId="775CA95B" w:rsidR="00F33B2B" w:rsidRPr="00A14357" w:rsidRDefault="00F33B2B" w:rsidP="00A14357">
      <w:pPr>
        <w:pStyle w:val="ListParagraph"/>
        <w:numPr>
          <w:ilvl w:val="0"/>
          <w:numId w:val="40"/>
        </w:numPr>
        <w:ind w:left="567" w:hanging="567"/>
        <w:jc w:val="both"/>
      </w:pPr>
      <w:r w:rsidRPr="00A14357">
        <w:t xml:space="preserve">Ensures </w:t>
      </w:r>
      <w:r w:rsidR="00D74107" w:rsidRPr="00A14357">
        <w:t>‘</w:t>
      </w:r>
      <w:r w:rsidRPr="00A14357">
        <w:t>that all projects supported by public funds are carried out in a community setting, do not contribute to seclusion of persons with disabilities, are monitored by organi</w:t>
      </w:r>
      <w:r w:rsidR="00D74107" w:rsidRPr="00A14357">
        <w:t>z</w:t>
      </w:r>
      <w:r w:rsidRPr="00A14357">
        <w:t>ations of persons with disabilities, and are provided with</w:t>
      </w:r>
      <w:r w:rsidR="00AE2583" w:rsidRPr="00A14357">
        <w:t xml:space="preserve"> sustainable continuous funding</w:t>
      </w:r>
      <w:r w:rsidR="00D74107" w:rsidRPr="00A14357">
        <w:t>’</w:t>
      </w:r>
      <w:r w:rsidR="00AE2583" w:rsidRPr="00A14357">
        <w:t>.</w:t>
      </w:r>
      <w:r w:rsidRPr="00A14357">
        <w:t xml:space="preserve"> </w:t>
      </w:r>
    </w:p>
    <w:p w14:paraId="64AE9406" w14:textId="41F6D61B" w:rsidR="00F33B2B" w:rsidRPr="00A14357" w:rsidRDefault="00F33B2B" w:rsidP="00A14357">
      <w:pPr>
        <w:pStyle w:val="ListParagraph"/>
        <w:numPr>
          <w:ilvl w:val="0"/>
          <w:numId w:val="40"/>
        </w:numPr>
        <w:ind w:left="567" w:hanging="567"/>
        <w:jc w:val="both"/>
      </w:pPr>
      <w:r w:rsidRPr="00A14357">
        <w:t>Adopt</w:t>
      </w:r>
      <w:r w:rsidR="00AE2583" w:rsidRPr="00A14357">
        <w:t xml:space="preserve">s </w:t>
      </w:r>
      <w:r w:rsidR="00D74107" w:rsidRPr="00A14357">
        <w:t>‘</w:t>
      </w:r>
      <w:r w:rsidRPr="00A14357">
        <w:t>legal and other necessary measures, such as the planned Pe</w:t>
      </w:r>
      <w:r w:rsidR="00AE2583" w:rsidRPr="00A14357">
        <w:t>rsonal Autonomy Bill and the UN</w:t>
      </w:r>
      <w:r w:rsidR="00D74107" w:rsidRPr="00A14357">
        <w:t xml:space="preserve"> </w:t>
      </w:r>
      <w:r w:rsidRPr="00A14357">
        <w:t>CRPD Bill, that will make article 1</w:t>
      </w:r>
      <w:r w:rsidR="00AE2583" w:rsidRPr="00A14357">
        <w:t>9 of the Convention justiciable</w:t>
      </w:r>
      <w:r w:rsidR="00D74107" w:rsidRPr="00A14357">
        <w:t>’</w:t>
      </w:r>
      <w:r w:rsidR="00AE2583" w:rsidRPr="00A14357">
        <w:t>.</w:t>
      </w:r>
      <w:r w:rsidRPr="00A14357">
        <w:t xml:space="preserve">  </w:t>
      </w:r>
    </w:p>
    <w:p w14:paraId="626D610F" w14:textId="43344D53" w:rsidR="00D71C8B" w:rsidRDefault="00F33B2B" w:rsidP="00A14357">
      <w:pPr>
        <w:pStyle w:val="ListParagraph"/>
        <w:numPr>
          <w:ilvl w:val="0"/>
          <w:numId w:val="40"/>
        </w:numPr>
        <w:ind w:left="567" w:hanging="567"/>
        <w:jc w:val="both"/>
      </w:pPr>
      <w:r w:rsidRPr="00A14357">
        <w:t>Ensure</w:t>
      </w:r>
      <w:r w:rsidR="00AE2583" w:rsidRPr="00A14357">
        <w:t>s</w:t>
      </w:r>
      <w:r w:rsidRPr="00A14357">
        <w:t xml:space="preserve"> that </w:t>
      </w:r>
      <w:r w:rsidR="00D74107" w:rsidRPr="00A14357">
        <w:t>‘</w:t>
      </w:r>
      <w:r w:rsidRPr="00A14357">
        <w:t>financial and other measures are in place that allow persons with disabilities to be provided with personal assistance and that personnel supporting persons with disabilities in the community are appropriately trained, if necessary</w:t>
      </w:r>
      <w:r w:rsidR="00D74107" w:rsidRPr="00A14357">
        <w:t>’</w:t>
      </w:r>
      <w:r w:rsidRPr="00A14357">
        <w:t>.</w:t>
      </w:r>
    </w:p>
    <w:p w14:paraId="4887301C" w14:textId="77777777" w:rsidR="00A14357" w:rsidRPr="00A14357" w:rsidRDefault="00A14357" w:rsidP="00A14357">
      <w:pPr>
        <w:jc w:val="both"/>
      </w:pPr>
    </w:p>
    <w:p w14:paraId="782C957B" w14:textId="7C5EF86D" w:rsidR="003E601D" w:rsidRDefault="003E601D" w:rsidP="007C58A6">
      <w:pPr>
        <w:pStyle w:val="Heading3"/>
      </w:pPr>
      <w:bookmarkStart w:id="7" w:name="_Toc2697717"/>
      <w:r>
        <w:t>National disability strategies</w:t>
      </w:r>
      <w:r w:rsidR="00286315">
        <w:t>, plans</w:t>
      </w:r>
      <w:r>
        <w:t xml:space="preserve"> and targets relevant to EU2020</w:t>
      </w:r>
      <w:bookmarkEnd w:id="7"/>
    </w:p>
    <w:p w14:paraId="3EC5F7C2" w14:textId="77777777" w:rsidR="00011B4F" w:rsidRDefault="00011B4F" w:rsidP="00005D28"/>
    <w:p w14:paraId="5B15F098" w14:textId="190AD4E6" w:rsidR="00454339" w:rsidRPr="00454339" w:rsidRDefault="00454339" w:rsidP="00D71C8B">
      <w:pPr>
        <w:pStyle w:val="Un-numberedsubheading"/>
        <w:spacing w:after="0"/>
        <w:jc w:val="both"/>
        <w:rPr>
          <w:b w:val="0"/>
          <w:bCs/>
        </w:rPr>
      </w:pPr>
      <w:r w:rsidRPr="009905E7">
        <w:rPr>
          <w:b w:val="0"/>
        </w:rPr>
        <w:t>There are no specific disability targets</w:t>
      </w:r>
      <w:r w:rsidR="00A14357">
        <w:rPr>
          <w:b w:val="0"/>
        </w:rPr>
        <w:t>.</w:t>
      </w:r>
      <w:r w:rsidRPr="009905E7">
        <w:rPr>
          <w:b w:val="0"/>
        </w:rPr>
        <w:t xml:space="preserve"> </w:t>
      </w:r>
      <w:r w:rsidR="008437A7">
        <w:rPr>
          <w:b w:val="0"/>
        </w:rPr>
        <w:t>but</w:t>
      </w:r>
      <w:r w:rsidRPr="00454339">
        <w:rPr>
          <w:b w:val="0"/>
        </w:rPr>
        <w:t xml:space="preserve"> the present government published The National Policy on the Rights of Persons with Disability</w:t>
      </w:r>
      <w:r w:rsidRPr="00454339">
        <w:rPr>
          <w:rStyle w:val="FootnoteReference"/>
          <w:b w:val="0"/>
        </w:rPr>
        <w:footnoteReference w:id="5"/>
      </w:r>
      <w:r w:rsidRPr="00454339">
        <w:rPr>
          <w:b w:val="0"/>
        </w:rPr>
        <w:t xml:space="preserve"> in December 2014 with the intention of having some of its measures act as a basis for a National Disability Strategy Framework. </w:t>
      </w:r>
      <w:r w:rsidRPr="00454339">
        <w:rPr>
          <w:b w:val="0"/>
          <w:bCs/>
        </w:rPr>
        <w:t>A consultation document of the National Disability Strategy</w:t>
      </w:r>
      <w:r w:rsidR="00D71C8B">
        <w:rPr>
          <w:b w:val="0"/>
          <w:bCs/>
        </w:rPr>
        <w:t>,</w:t>
      </w:r>
      <w:r w:rsidRPr="00454339">
        <w:rPr>
          <w:rStyle w:val="FootnoteReference"/>
          <w:b w:val="0"/>
          <w:bCs/>
        </w:rPr>
        <w:footnoteReference w:id="6"/>
      </w:r>
      <w:r w:rsidRPr="00454339">
        <w:rPr>
          <w:b w:val="0"/>
          <w:bCs/>
        </w:rPr>
        <w:t xml:space="preserve"> drawing from the above-mentioned policy, was launched at the beginning of May 2016. The draft National Disability Strategy was open for public consultation </w:t>
      </w:r>
      <w:r w:rsidR="006879DE">
        <w:rPr>
          <w:b w:val="0"/>
          <w:bCs/>
        </w:rPr>
        <w:t>until</w:t>
      </w:r>
      <w:r w:rsidR="006879DE" w:rsidRPr="00454339">
        <w:rPr>
          <w:b w:val="0"/>
          <w:bCs/>
        </w:rPr>
        <w:t xml:space="preserve"> </w:t>
      </w:r>
      <w:r w:rsidRPr="00454339">
        <w:rPr>
          <w:b w:val="0"/>
          <w:bCs/>
        </w:rPr>
        <w:t xml:space="preserve">30 May 2016. Employment and education are specifically listed as objectives of the draft National Disability Strategy. To date, </w:t>
      </w:r>
      <w:r w:rsidR="006879DE">
        <w:rPr>
          <w:b w:val="0"/>
          <w:bCs/>
        </w:rPr>
        <w:t xml:space="preserve">in 2018, </w:t>
      </w:r>
      <w:r w:rsidRPr="00454339">
        <w:rPr>
          <w:b w:val="0"/>
          <w:bCs/>
        </w:rPr>
        <w:t xml:space="preserve">the National Disability Strategy </w:t>
      </w:r>
      <w:proofErr w:type="gramStart"/>
      <w:r w:rsidRPr="00454339">
        <w:rPr>
          <w:b w:val="0"/>
          <w:bCs/>
        </w:rPr>
        <w:t>still remains</w:t>
      </w:r>
      <w:proofErr w:type="gramEnd"/>
      <w:r w:rsidRPr="00454339">
        <w:rPr>
          <w:b w:val="0"/>
          <w:bCs/>
        </w:rPr>
        <w:t xml:space="preserve"> a draft and has not been finalised. </w:t>
      </w:r>
    </w:p>
    <w:p w14:paraId="06B4C51C" w14:textId="430F6A74" w:rsidR="00454339" w:rsidRPr="00454339" w:rsidRDefault="00454339" w:rsidP="00454339">
      <w:pPr>
        <w:pStyle w:val="Un-numberedsubheading"/>
        <w:spacing w:after="0"/>
        <w:jc w:val="both"/>
        <w:rPr>
          <w:b w:val="0"/>
          <w:bCs/>
          <w:lang w:val="mt-MT"/>
        </w:rPr>
      </w:pPr>
    </w:p>
    <w:p w14:paraId="3099AC5B" w14:textId="798824B7" w:rsidR="00D0292C" w:rsidRPr="00454339" w:rsidRDefault="00D0292C" w:rsidP="00005D28">
      <w:pPr>
        <w:rPr>
          <w:color w:val="FF0000"/>
          <w:lang w:val="mt-MT"/>
        </w:rPr>
      </w:pPr>
    </w:p>
    <w:p w14:paraId="1275F11C" w14:textId="3D1539C1" w:rsidR="00D0292C" w:rsidRDefault="00DE4BC5" w:rsidP="00A14357">
      <w:pPr>
        <w:pStyle w:val="Heading1"/>
      </w:pPr>
      <w:bookmarkStart w:id="8" w:name="_Toc2697718"/>
      <w:r>
        <w:lastRenderedPageBreak/>
        <w:t>Disability and employment - analysis of the</w:t>
      </w:r>
      <w:r w:rsidR="00172D74">
        <w:t xml:space="preserve"> situation and</w:t>
      </w:r>
      <w:r>
        <w:t xml:space="preserve"> the </w:t>
      </w:r>
      <w:r w:rsidR="00172D74">
        <w:t>effectiveness of policies</w:t>
      </w:r>
      <w:bookmarkEnd w:id="8"/>
    </w:p>
    <w:p w14:paraId="3F8C3237" w14:textId="77777777" w:rsidR="00BF462A" w:rsidRDefault="00BF462A" w:rsidP="00BF462A">
      <w:pPr>
        <w:jc w:val="both"/>
      </w:pPr>
    </w:p>
    <w:p w14:paraId="27FABF71" w14:textId="57618BC2" w:rsidR="00F24F4C" w:rsidRDefault="008437A7" w:rsidP="00946F50">
      <w:pPr>
        <w:jc w:val="both"/>
      </w:pPr>
      <w:r>
        <w:t xml:space="preserve">According to EU-SILC estimates, </w:t>
      </w:r>
      <w:r w:rsidR="00654D13">
        <w:t xml:space="preserve">Malta has </w:t>
      </w:r>
      <w:r w:rsidR="00305869">
        <w:t xml:space="preserve">the </w:t>
      </w:r>
      <w:r>
        <w:t xml:space="preserve">lowest disability employment rate in the EU and the widest </w:t>
      </w:r>
      <w:r w:rsidR="00305869">
        <w:t>gap</w:t>
      </w:r>
      <w:r w:rsidR="00654D13">
        <w:t xml:space="preserve"> between the employment </w:t>
      </w:r>
      <w:r w:rsidR="00EE5574">
        <w:t xml:space="preserve">(and activity) </w:t>
      </w:r>
      <w:r w:rsidR="00654D13">
        <w:t>of those with disabilities and those without</w:t>
      </w:r>
      <w:r w:rsidR="00305869">
        <w:t xml:space="preserve">. </w:t>
      </w:r>
      <w:r w:rsidR="009B0008">
        <w:t xml:space="preserve">In fact, the employment rate of people with disabilities in Malta is </w:t>
      </w:r>
      <w:r>
        <w:t>reported at</w:t>
      </w:r>
      <w:r w:rsidR="00B84977">
        <w:t xml:space="preserve"> just</w:t>
      </w:r>
      <w:r w:rsidR="009B0008">
        <w:t xml:space="preserve"> </w:t>
      </w:r>
      <w:r w:rsidR="008E0E05">
        <w:t>29%</w:t>
      </w:r>
      <w:r>
        <w:t xml:space="preserve"> (see </w:t>
      </w:r>
      <w:r>
        <w:fldChar w:fldCharType="begin"/>
      </w:r>
      <w:r>
        <w:instrText xml:space="preserve"> REF _Ref520883153 \h </w:instrText>
      </w:r>
      <w:r>
        <w:fldChar w:fldCharType="separate"/>
      </w:r>
      <w:r w:rsidR="00FE3D2A">
        <w:t xml:space="preserve">Table </w:t>
      </w:r>
      <w:r w:rsidR="00FE3D2A">
        <w:rPr>
          <w:noProof/>
        </w:rPr>
        <w:t>5</w:t>
      </w:r>
      <w:r>
        <w:fldChar w:fldCharType="end"/>
      </w:r>
      <w:r w:rsidR="00B84977">
        <w:t xml:space="preserve"> in annex</w:t>
      </w:r>
      <w:r>
        <w:t>)</w:t>
      </w:r>
      <w:r w:rsidR="006D0FE8">
        <w:t xml:space="preserve">. </w:t>
      </w:r>
      <w:r w:rsidR="00F24F4C">
        <w:t>Likewise</w:t>
      </w:r>
      <w:r w:rsidR="00B60AE6" w:rsidRPr="00B60AE6">
        <w:t>, the employment</w:t>
      </w:r>
      <w:r w:rsidR="00B60AE6">
        <w:t xml:space="preserve"> </w:t>
      </w:r>
      <w:r w:rsidR="00B60AE6" w:rsidRPr="00B60AE6">
        <w:t>rate of w</w:t>
      </w:r>
      <w:r w:rsidR="00B60AE6">
        <w:t>o</w:t>
      </w:r>
      <w:r w:rsidR="00B60AE6" w:rsidRPr="00B60AE6">
        <w:t xml:space="preserve">men with disabilities in Malta is also the lowest in the EU: while the rate of employment for women without disabilities is around 55%, the rate of employment for women with disabilities is </w:t>
      </w:r>
      <w:r w:rsidR="00B84977">
        <w:t xml:space="preserve">estimated at </w:t>
      </w:r>
      <w:r w:rsidR="00B60AE6" w:rsidRPr="00B60AE6">
        <w:t>less than 20%.</w:t>
      </w:r>
      <w:r w:rsidR="00374482">
        <w:t xml:space="preserve"> The employment rate for men with disabilities in Malta is </w:t>
      </w:r>
      <w:r w:rsidR="00A844A3">
        <w:t xml:space="preserve">also </w:t>
      </w:r>
      <w:r w:rsidR="00374482">
        <w:t>one of the lowest in the EU: while for men without disabilities, the employment rate is above 80%, it is less than 35% for men with disabilities, which is one of the highest gender gaps regarding employment rates of people with disabilities in the EU (Grammenos, 2018).</w:t>
      </w:r>
      <w:r w:rsidR="00F24F4C">
        <w:rPr>
          <w:rStyle w:val="FootnoteReference"/>
        </w:rPr>
        <w:footnoteReference w:id="7"/>
      </w:r>
      <w:r w:rsidR="00374482">
        <w:t xml:space="preserve"> </w:t>
      </w:r>
    </w:p>
    <w:p w14:paraId="3490C7E3" w14:textId="77777777" w:rsidR="00F24F4C" w:rsidRDefault="00F24F4C" w:rsidP="00F24F4C">
      <w:pPr>
        <w:jc w:val="both"/>
      </w:pPr>
    </w:p>
    <w:p w14:paraId="2D98D4B0" w14:textId="71477CF7" w:rsidR="00F24F4C" w:rsidRDefault="001C6970" w:rsidP="00D71C8B">
      <w:pPr>
        <w:jc w:val="both"/>
      </w:pPr>
      <w:r w:rsidRPr="002B1689">
        <w:t>Meanwhile, the general employment rate in Malta during the last quarter of 2017 was on average 69% for those aged 15-64 years</w:t>
      </w:r>
      <w:r>
        <w:t xml:space="preserve"> (an increase of 5.1% when compared to the</w:t>
      </w:r>
      <w:r w:rsidR="00FE7FEA">
        <w:t xml:space="preserve"> </w:t>
      </w:r>
      <w:r w:rsidR="00FE7FEA" w:rsidRPr="004178DA">
        <w:t>corresponding quarter of 2016)</w:t>
      </w:r>
      <w:r w:rsidR="00F24F4C">
        <w:t>, based on the Labour Force Survey</w:t>
      </w:r>
      <w:r w:rsidR="00FE7FEA" w:rsidRPr="004178DA">
        <w:t>.</w:t>
      </w:r>
      <w:r w:rsidRPr="004178DA">
        <w:t xml:space="preserve"> </w:t>
      </w:r>
      <w:r w:rsidR="00F24F4C">
        <w:t>The</w:t>
      </w:r>
      <w:r w:rsidRPr="004178DA">
        <w:t xml:space="preserve"> average rate of activity</w:t>
      </w:r>
      <w:r w:rsidR="00FE7FEA" w:rsidRPr="004178DA">
        <w:t xml:space="preserve"> in Malta is </w:t>
      </w:r>
      <w:r w:rsidRPr="004178DA">
        <w:t>72% (NSO, 2018</w:t>
      </w:r>
      <w:r w:rsidR="002C6495">
        <w:t>);</w:t>
      </w:r>
      <w:r w:rsidRPr="004178DA">
        <w:rPr>
          <w:rStyle w:val="FootnoteReference"/>
        </w:rPr>
        <w:footnoteReference w:id="8"/>
      </w:r>
      <w:r w:rsidR="00FE7FEA" w:rsidRPr="004178DA">
        <w:t xml:space="preserve"> while the </w:t>
      </w:r>
      <w:r w:rsidR="00F24F4C">
        <w:t xml:space="preserve">SILC estimate of the </w:t>
      </w:r>
      <w:r w:rsidR="00FE7FEA" w:rsidRPr="004178DA">
        <w:t xml:space="preserve">activity rate of persons with disabilities </w:t>
      </w:r>
      <w:r w:rsidR="00F24F4C">
        <w:t>was</w:t>
      </w:r>
      <w:r w:rsidR="00F24F4C" w:rsidRPr="004178DA">
        <w:t xml:space="preserve"> </w:t>
      </w:r>
      <w:r w:rsidR="00FE7FEA" w:rsidRPr="004178DA">
        <w:t>only 3</w:t>
      </w:r>
      <w:r w:rsidR="00485379">
        <w:t>3</w:t>
      </w:r>
      <w:r w:rsidR="00FE7FEA" w:rsidRPr="004178DA">
        <w:t>.</w:t>
      </w:r>
      <w:r w:rsidR="00485379">
        <w:t>9</w:t>
      </w:r>
      <w:r w:rsidR="00FE7FEA" w:rsidRPr="004178DA">
        <w:t xml:space="preserve">% </w:t>
      </w:r>
      <w:r w:rsidR="00F24F4C">
        <w:t>in 201</w:t>
      </w:r>
      <w:r w:rsidR="00485379">
        <w:t>6</w:t>
      </w:r>
      <w:r w:rsidR="00F24F4C">
        <w:t xml:space="preserve"> </w:t>
      </w:r>
      <w:r w:rsidR="00FE7FEA" w:rsidRPr="004178DA">
        <w:t>(</w:t>
      </w:r>
      <w:r w:rsidR="00485379">
        <w:t xml:space="preserve">see </w:t>
      </w:r>
      <w:r w:rsidR="00D71C8B">
        <w:fldChar w:fldCharType="begin"/>
      </w:r>
      <w:r w:rsidR="00D71C8B">
        <w:instrText xml:space="preserve"> REF _Ref528318529 \h </w:instrText>
      </w:r>
      <w:r w:rsidR="00D71C8B">
        <w:fldChar w:fldCharType="separate"/>
      </w:r>
      <w:r w:rsidR="00FE3D2A">
        <w:t xml:space="preserve">Table </w:t>
      </w:r>
      <w:r w:rsidR="00FE3D2A">
        <w:rPr>
          <w:noProof/>
        </w:rPr>
        <w:t>11</w:t>
      </w:r>
      <w:r w:rsidR="00D71C8B">
        <w:fldChar w:fldCharType="end"/>
      </w:r>
      <w:r w:rsidR="00485379">
        <w:t xml:space="preserve"> in annex</w:t>
      </w:r>
      <w:r w:rsidR="00FE7FEA" w:rsidRPr="004178DA">
        <w:t xml:space="preserve">), indicating that the number of people </w:t>
      </w:r>
      <w:r w:rsidR="00F24F4C">
        <w:t>declaring</w:t>
      </w:r>
      <w:r w:rsidR="00F24F4C" w:rsidRPr="004178DA">
        <w:t xml:space="preserve"> </w:t>
      </w:r>
      <w:r w:rsidR="00FE7FEA" w:rsidRPr="004178DA">
        <w:t xml:space="preserve">disabilities </w:t>
      </w:r>
      <w:r w:rsidR="00F24F4C">
        <w:t xml:space="preserve">and </w:t>
      </w:r>
      <w:r w:rsidR="00FE7FEA" w:rsidRPr="004178DA">
        <w:t xml:space="preserve">seeking employment is also </w:t>
      </w:r>
      <w:r w:rsidR="00F24F4C">
        <w:t xml:space="preserve">very </w:t>
      </w:r>
      <w:r w:rsidR="00FE7FEA" w:rsidRPr="004178DA">
        <w:t xml:space="preserve">low. </w:t>
      </w:r>
      <w:r w:rsidR="00F24F4C">
        <w:t xml:space="preserve">Malta’s 2018 NRP (Annex p. 2) claims that ‘a </w:t>
      </w:r>
      <w:r w:rsidR="00F24F4C" w:rsidRPr="00F24F4C">
        <w:t>substantial increase in the number of persons with a disability in employment has been noted</w:t>
      </w:r>
      <w:r w:rsidR="00F24F4C">
        <w:t>’ but n</w:t>
      </w:r>
      <w:r w:rsidR="006A5AA3" w:rsidRPr="00F05A73">
        <w:t>otwithstanding the number of schemes available</w:t>
      </w:r>
      <w:r w:rsidR="00F24F4C">
        <w:t>,</w:t>
      </w:r>
      <w:r w:rsidR="006A5AA3" w:rsidRPr="00F05A73">
        <w:t xml:space="preserve"> as well as the 2% quota</w:t>
      </w:r>
      <w:r w:rsidR="008E371C">
        <w:t xml:space="preserve"> (elaborated on below)</w:t>
      </w:r>
      <w:r w:rsidR="006A5AA3" w:rsidRPr="00F05A73">
        <w:t>, according to the National Statistics Office, there was only a decrease of 35 persons with disability who were registering for work between January 2017 and January 2018</w:t>
      </w:r>
      <w:r w:rsidR="001C42C7">
        <w:t>.</w:t>
      </w:r>
      <w:r w:rsidR="006A5AA3" w:rsidRPr="00F05A73">
        <w:rPr>
          <w:rStyle w:val="FootnoteReference"/>
        </w:rPr>
        <w:footnoteReference w:id="9"/>
      </w:r>
    </w:p>
    <w:p w14:paraId="7FB6BA17" w14:textId="77777777" w:rsidR="00F24F4C" w:rsidRDefault="00F24F4C" w:rsidP="00F24F4C">
      <w:pPr>
        <w:jc w:val="both"/>
      </w:pPr>
    </w:p>
    <w:p w14:paraId="54A8E90A" w14:textId="18704251" w:rsidR="006A5AA3" w:rsidRPr="008E371C" w:rsidRDefault="006A5AA3" w:rsidP="00D71C8B">
      <w:pPr>
        <w:jc w:val="both"/>
        <w:rPr>
          <w:rFonts w:ascii="Gotham-Book" w:hAnsi="Gotham-Book" w:cs="Gotham-Book"/>
          <w:sz w:val="22"/>
          <w:szCs w:val="22"/>
          <w:lang w:val="mt-MT"/>
        </w:rPr>
      </w:pPr>
      <w:r w:rsidRPr="00F05A73">
        <w:t>The reasons for the low participation rate for persons with disability in the labour market are various, including a strong level of over-protection from parents, particularly towards persons with intellectual disability</w:t>
      </w:r>
      <w:r w:rsidR="00D71C8B">
        <w:t>,</w:t>
      </w:r>
      <w:r>
        <w:rPr>
          <w:rStyle w:val="FootnoteReference"/>
        </w:rPr>
        <w:footnoteReference w:id="10"/>
      </w:r>
      <w:r>
        <w:t xml:space="preserve"> </w:t>
      </w:r>
      <w:r w:rsidRPr="00F05A73">
        <w:t>lack of accessible and safe transportation for persons with disability</w:t>
      </w:r>
      <w:r>
        <w:t>, employers’ lack of awareness regarding engaging disabled people</w:t>
      </w:r>
      <w:r w:rsidR="00D71C8B">
        <w:t>,</w:t>
      </w:r>
      <w:r>
        <w:rPr>
          <w:rStyle w:val="FootnoteReference"/>
        </w:rPr>
        <w:footnoteReference w:id="11"/>
      </w:r>
      <w:r>
        <w:t xml:space="preserve"> and lack of reasonable accommodation </w:t>
      </w:r>
      <w:r w:rsidR="008E371C">
        <w:t xml:space="preserve">at the workplace </w:t>
      </w:r>
      <w:r>
        <w:t xml:space="preserve">(not only for people with physical disabilities, but with other types of disabilities as well). </w:t>
      </w:r>
      <w:r w:rsidRPr="00F05A73">
        <w:t xml:space="preserve"> </w:t>
      </w:r>
      <w:r w:rsidRPr="004178DA">
        <w:t xml:space="preserve">Disabled persons may also find it difficult to work because they lack the necessary qualifications (a subject which is dealt with in the next section) or due to a lack of willingness on the part of employers to recruit disabled people. </w:t>
      </w:r>
      <w:r w:rsidRPr="004178DA">
        <w:lastRenderedPageBreak/>
        <w:t>Negative attitudes of employers towards engaging disabled people have been documented in various local studies</w:t>
      </w:r>
      <w:r w:rsidR="00A14357">
        <w:t>.</w:t>
      </w:r>
      <w:r w:rsidRPr="004178DA">
        <w:rPr>
          <w:rStyle w:val="FootnoteReference"/>
        </w:rPr>
        <w:footnoteReference w:id="12"/>
      </w:r>
    </w:p>
    <w:p w14:paraId="496539BE" w14:textId="77777777" w:rsidR="00065154" w:rsidRPr="004178DA" w:rsidRDefault="00065154" w:rsidP="00BF462A">
      <w:pPr>
        <w:jc w:val="both"/>
      </w:pPr>
    </w:p>
    <w:p w14:paraId="075D4460" w14:textId="0A30465E" w:rsidR="008C75EB" w:rsidRPr="004178DA" w:rsidRDefault="00065154" w:rsidP="002357D4">
      <w:pPr>
        <w:autoSpaceDE w:val="0"/>
        <w:autoSpaceDN w:val="0"/>
        <w:adjustRightInd w:val="0"/>
        <w:jc w:val="both"/>
      </w:pPr>
      <w:r w:rsidRPr="004178DA">
        <w:t xml:space="preserve">As stated in Malta’s National Reform Programme </w:t>
      </w:r>
      <w:r w:rsidR="00833A69" w:rsidRPr="004178DA">
        <w:t xml:space="preserve">(NRP) </w:t>
      </w:r>
      <w:r w:rsidRPr="004178DA">
        <w:t>2018</w:t>
      </w:r>
      <w:r w:rsidR="001C42C7">
        <w:t>,</w:t>
      </w:r>
      <w:r w:rsidRPr="004178DA">
        <w:rPr>
          <w:rStyle w:val="FootnoteReference"/>
        </w:rPr>
        <w:footnoteReference w:id="13"/>
      </w:r>
      <w:r w:rsidRPr="004178DA">
        <w:t xml:space="preserve"> the government is committed to integrate persons with disability in the labour market. It also states that there are now more opportunities for people with disabilities to find work. </w:t>
      </w:r>
      <w:r w:rsidR="0059569F" w:rsidRPr="004178DA">
        <w:t>Among the relevant initiatives</w:t>
      </w:r>
      <w:r w:rsidR="008A6B63" w:rsidRPr="004178DA">
        <w:t>, which are explored more in details below,</w:t>
      </w:r>
      <w:r w:rsidR="0059569F" w:rsidRPr="004178DA">
        <w:t xml:space="preserve"> are the: </w:t>
      </w:r>
      <w:r w:rsidR="00F24F4C">
        <w:t>(</w:t>
      </w:r>
      <w:r w:rsidR="0059569F" w:rsidRPr="004178DA">
        <w:t>1) policy measures which co</w:t>
      </w:r>
      <w:r w:rsidR="008A6B63" w:rsidRPr="004178DA">
        <w:t xml:space="preserve">ntinued to be enforced in </w:t>
      </w:r>
      <w:r w:rsidR="008A6B63" w:rsidRPr="00D71C8B">
        <w:t>201</w:t>
      </w:r>
      <w:r w:rsidR="002357D4" w:rsidRPr="00D71C8B">
        <w:t>8</w:t>
      </w:r>
      <w:r w:rsidR="008A6B63" w:rsidRPr="004178DA">
        <w:t xml:space="preserve">; </w:t>
      </w:r>
      <w:r w:rsidR="00F24F4C">
        <w:t>(</w:t>
      </w:r>
      <w:r w:rsidR="00D40B90" w:rsidRPr="004178DA">
        <w:t>2)</w:t>
      </w:r>
      <w:r w:rsidR="00E979DE" w:rsidRPr="004178DA">
        <w:t xml:space="preserve"> </w:t>
      </w:r>
      <w:r w:rsidR="008C75EB" w:rsidRPr="004178DA">
        <w:t xml:space="preserve">initiatives to enhance the work readiness of persons with disability and to train employers to adapt the workplace accordingly; </w:t>
      </w:r>
      <w:r w:rsidR="001D5277" w:rsidRPr="004178DA">
        <w:t xml:space="preserve">and </w:t>
      </w:r>
      <w:r w:rsidR="00F24F4C">
        <w:t>(</w:t>
      </w:r>
      <w:r w:rsidR="008C75EB" w:rsidRPr="004178DA">
        <w:t xml:space="preserve">3) a budgetary measure through which persons with disability joining the labour market continue receiving the disability pension in full. </w:t>
      </w:r>
      <w:r w:rsidR="002349EE">
        <w:t>The approach represents a mix of supply-side and demand-side policy measures.</w:t>
      </w:r>
    </w:p>
    <w:p w14:paraId="508624A7" w14:textId="77777777" w:rsidR="008A6B63" w:rsidRPr="004178DA" w:rsidRDefault="008A6B63" w:rsidP="00833A69">
      <w:pPr>
        <w:autoSpaceDE w:val="0"/>
        <w:autoSpaceDN w:val="0"/>
        <w:adjustRightInd w:val="0"/>
        <w:jc w:val="both"/>
      </w:pPr>
    </w:p>
    <w:p w14:paraId="657DAA35" w14:textId="3C73720F" w:rsidR="00A54C2A" w:rsidRDefault="002357D4" w:rsidP="00A54C2A">
      <w:pPr>
        <w:jc w:val="both"/>
      </w:pPr>
      <w:r w:rsidRPr="002357D4">
        <w:rPr>
          <w:b/>
          <w:bCs/>
        </w:rPr>
        <w:t>E</w:t>
      </w:r>
      <w:r w:rsidR="008A6B63" w:rsidRPr="002357D4">
        <w:rPr>
          <w:b/>
          <w:bCs/>
        </w:rPr>
        <w:t xml:space="preserve">nforcement of the </w:t>
      </w:r>
      <w:r w:rsidRPr="002357D4">
        <w:rPr>
          <w:b/>
          <w:bCs/>
        </w:rPr>
        <w:t>disability employment quota</w:t>
      </w:r>
      <w:r w:rsidR="001C42C7">
        <w:t xml:space="preserve"> </w:t>
      </w:r>
      <w:r>
        <w:t xml:space="preserve">provided for under </w:t>
      </w:r>
      <w:r w:rsidR="00F835CF">
        <w:t>a</w:t>
      </w:r>
      <w:r w:rsidR="008A6B63" w:rsidRPr="004178DA">
        <w:t>rticle 16 of the Persons with Disability (Employment) Act 1969</w:t>
      </w:r>
      <w:r w:rsidR="001C42C7">
        <w:t>,</w:t>
      </w:r>
      <w:r w:rsidR="008A6B63" w:rsidRPr="004178DA">
        <w:rPr>
          <w:rStyle w:val="FootnoteReference"/>
        </w:rPr>
        <w:footnoteReference w:id="14"/>
      </w:r>
      <w:r w:rsidR="008A6B63" w:rsidRPr="004178DA">
        <w:t xml:space="preserve"> </w:t>
      </w:r>
      <w:r>
        <w:t>and</w:t>
      </w:r>
      <w:r w:rsidRPr="004178DA">
        <w:t xml:space="preserve"> </w:t>
      </w:r>
      <w:r w:rsidR="008A6B63" w:rsidRPr="004178DA">
        <w:t>requir</w:t>
      </w:r>
      <w:r>
        <w:t>ing</w:t>
      </w:r>
      <w:r w:rsidR="008A6B63" w:rsidRPr="004178DA">
        <w:t xml:space="preserve"> companies with 20 or more employees to employ a 2% quota of persons with disabilities</w:t>
      </w:r>
      <w:r>
        <w:t>,</w:t>
      </w:r>
      <w:r w:rsidR="008A6B63" w:rsidRPr="004178DA">
        <w:t xml:space="preserve"> will certainly aid the </w:t>
      </w:r>
      <w:r w:rsidR="000B13C0">
        <w:t>target</w:t>
      </w:r>
      <w:r w:rsidR="002349EE" w:rsidRPr="004178DA">
        <w:t xml:space="preserve"> </w:t>
      </w:r>
      <w:r w:rsidR="008A6B63" w:rsidRPr="004178DA">
        <w:t>set out in the NRP</w:t>
      </w:r>
      <w:r w:rsidR="002349EE">
        <w:t xml:space="preserve"> </w:t>
      </w:r>
      <w:r w:rsidR="008A6B63" w:rsidRPr="004178DA">
        <w:t>to increase the rate of employment of persons with disabilit</w:t>
      </w:r>
      <w:r>
        <w:t>ies</w:t>
      </w:r>
      <w:r w:rsidR="008A6B63" w:rsidRPr="004178DA">
        <w:t xml:space="preserve">. However, according to the Persons with Disability (Employment) Act 1969 and Act XXII of 2015, </w:t>
      </w:r>
      <w:proofErr w:type="gramStart"/>
      <w:r w:rsidR="008A6B63" w:rsidRPr="004178DA">
        <w:t>in order for</w:t>
      </w:r>
      <w:proofErr w:type="gramEnd"/>
      <w:r w:rsidR="008A6B63" w:rsidRPr="004178DA">
        <w:t xml:space="preserve"> the employer to be formally recognised as acceding to the 2% quota, the disabled employee has to be registered on the Persons with Disability Register held by the Employment and Training Corporation (now known as Jobsplus). When the measure was initially introduced, the Malta Employers’ Association claimed that a number of large companies were encountering problems </w:t>
      </w:r>
      <w:r w:rsidR="008A6B63" w:rsidRPr="00003EC0">
        <w:t>when requesting their employees to register on the Persons with Disability Register and that they were not consulted prior to government’s enforcement of this legislation.</w:t>
      </w:r>
      <w:r w:rsidR="008A6B63" w:rsidRPr="00003EC0">
        <w:rPr>
          <w:rStyle w:val="FootnoteReference"/>
        </w:rPr>
        <w:footnoteReference w:id="15"/>
      </w:r>
      <w:r w:rsidR="008A6B63" w:rsidRPr="00003EC0">
        <w:t xml:space="preserve"> </w:t>
      </w:r>
      <w:r w:rsidR="00A54C2A">
        <w:t xml:space="preserve">The fact that employers were encountering problems when requesting employees to register may reflect the broader view that disabled people in Malta do not seem to declare their status in surveys either (reporting rates are very low). This might be due to social stigma or lack of public disability awareness. If more people with moderate levels of impairment were to declare their status and </w:t>
      </w:r>
      <w:proofErr w:type="gramStart"/>
      <w:r w:rsidR="00A54C2A">
        <w:t>register</w:t>
      </w:r>
      <w:proofErr w:type="gramEnd"/>
      <w:r w:rsidR="00A54C2A">
        <w:t xml:space="preserve"> then it would increase the population estimate. On the other hand, it would also make it easier for employers to cherry pick the ‘least disabled’ people </w:t>
      </w:r>
      <w:proofErr w:type="gramStart"/>
      <w:r w:rsidR="00A54C2A">
        <w:t>in order to</w:t>
      </w:r>
      <w:proofErr w:type="gramEnd"/>
      <w:r w:rsidR="00A54C2A">
        <w:t xml:space="preserve"> fulfil the quota.</w:t>
      </w:r>
    </w:p>
    <w:p w14:paraId="74245371" w14:textId="77777777" w:rsidR="00A14357" w:rsidRDefault="00A14357" w:rsidP="00F45F68">
      <w:pPr>
        <w:jc w:val="both"/>
      </w:pPr>
    </w:p>
    <w:p w14:paraId="1D34D849" w14:textId="5E9211E1" w:rsidR="00A54C2A" w:rsidRDefault="008A6B63" w:rsidP="00F45F68">
      <w:pPr>
        <w:jc w:val="both"/>
      </w:pPr>
      <w:r w:rsidRPr="00003EC0">
        <w:lastRenderedPageBreak/>
        <w:t>On 28</w:t>
      </w:r>
      <w:r w:rsidRPr="00003EC0">
        <w:rPr>
          <w:vertAlign w:val="superscript"/>
        </w:rPr>
        <w:t>th</w:t>
      </w:r>
      <w:r w:rsidR="00D330E3">
        <w:t xml:space="preserve"> April 2016, </w:t>
      </w:r>
      <w:r w:rsidRPr="00003EC0">
        <w:t>a Memorandum of Understanding</w:t>
      </w:r>
      <w:r w:rsidRPr="00003EC0">
        <w:rPr>
          <w:rStyle w:val="FootnoteReference"/>
        </w:rPr>
        <w:footnoteReference w:id="16"/>
      </w:r>
      <w:r w:rsidRPr="00003EC0">
        <w:t xml:space="preserve"> was signed between Jobsplus</w:t>
      </w:r>
      <w:r w:rsidR="00A61527">
        <w:t xml:space="preserve"> (the national employment agency)</w:t>
      </w:r>
      <w:r w:rsidRPr="00003EC0">
        <w:rPr>
          <w:lang w:val="mt-MT"/>
        </w:rPr>
        <w:t xml:space="preserve">, the </w:t>
      </w:r>
      <w:r w:rsidRPr="00003EC0">
        <w:t>Malta Employers Association</w:t>
      </w:r>
      <w:r w:rsidRPr="00003EC0">
        <w:rPr>
          <w:lang w:val="mt-MT"/>
        </w:rPr>
        <w:t xml:space="preserve"> and the Malta Chamber of Commerce, Enterprise and Industry</w:t>
      </w:r>
      <w:r w:rsidRPr="00003EC0">
        <w:t>. The Memorandum of Understanding acknowledges the financial and tax incentives granted to employers to favour the employment of persons with disability.</w:t>
      </w:r>
      <w:r w:rsidR="00946F50">
        <w:rPr>
          <w:rStyle w:val="FootnoteReference"/>
        </w:rPr>
        <w:footnoteReference w:id="17"/>
      </w:r>
      <w:r w:rsidRPr="00003EC0">
        <w:t xml:space="preserve"> </w:t>
      </w:r>
      <w:r w:rsidRPr="00003EC0">
        <w:rPr>
          <w:lang w:val="mt-MT"/>
        </w:rPr>
        <w:t>The Memorandum of Understanding should hopefully aid in raising awarness about the employment rights of persons with disability amongst employers</w:t>
      </w:r>
      <w:r w:rsidR="00A54C2A">
        <w:t>,</w:t>
      </w:r>
      <w:r w:rsidRPr="00003EC0">
        <w:rPr>
          <w:lang w:val="mt-MT"/>
        </w:rPr>
        <w:t xml:space="preserve"> as well as aid in increasing the number of eligible companies to reach the 2% quota.</w:t>
      </w:r>
      <w:r>
        <w:t xml:space="preserve"> </w:t>
      </w:r>
      <w:r w:rsidR="00A54C2A">
        <w:t xml:space="preserve">It is also hoped that it increases the incentive for disability disclosure. </w:t>
      </w:r>
      <w:r w:rsidRPr="00E979DE">
        <w:t xml:space="preserve">Non-complying companies with the 2% quota are asked to </w:t>
      </w:r>
      <w:r>
        <w:t>make an annual contribution of €</w:t>
      </w:r>
      <w:r w:rsidR="002C6495">
        <w:t> </w:t>
      </w:r>
      <w:r w:rsidRPr="00E979DE">
        <w:t>2,400 for every disabled person the company should be employing on a full-time basis</w:t>
      </w:r>
      <w:r w:rsidR="00357922">
        <w:t xml:space="preserve"> (a rising level of penalty from </w:t>
      </w:r>
      <w:r w:rsidR="00357922" w:rsidRPr="00357922">
        <w:t>€800 per person</w:t>
      </w:r>
      <w:r w:rsidR="00357922">
        <w:t xml:space="preserve"> in 2015 and </w:t>
      </w:r>
      <w:r w:rsidR="00357922" w:rsidRPr="00357922">
        <w:t>€1600</w:t>
      </w:r>
      <w:r w:rsidR="00357922">
        <w:t xml:space="preserve"> in 2016)</w:t>
      </w:r>
      <w:r w:rsidRPr="00E979DE">
        <w:t>.</w:t>
      </w:r>
      <w:r>
        <w:t xml:space="preserve"> </w:t>
      </w:r>
    </w:p>
    <w:p w14:paraId="078068F7" w14:textId="77777777" w:rsidR="00A54C2A" w:rsidRDefault="00A54C2A" w:rsidP="00F45F68">
      <w:pPr>
        <w:jc w:val="both"/>
      </w:pPr>
    </w:p>
    <w:p w14:paraId="70208911" w14:textId="534A4FBC" w:rsidR="00D40B90" w:rsidRPr="00A61527" w:rsidRDefault="008A6B63" w:rsidP="00F45F68">
      <w:pPr>
        <w:jc w:val="both"/>
      </w:pPr>
      <w:r>
        <w:t>The Jobsplus (the national employment agency) 2017 Annual Report</w:t>
      </w:r>
      <w:r>
        <w:rPr>
          <w:rStyle w:val="FootnoteReference"/>
        </w:rPr>
        <w:footnoteReference w:id="18"/>
      </w:r>
      <w:r>
        <w:t xml:space="preserve"> states that as at end 2017, over 400 employers who were not in line with the law in 2015/2016 paid the contribution due. </w:t>
      </w:r>
      <w:r w:rsidR="00A61527">
        <w:t>The NRP confirms this:</w:t>
      </w:r>
      <w:r w:rsidR="00A61527" w:rsidRPr="00A61527">
        <w:t xml:space="preserve"> </w:t>
      </w:r>
      <w:r w:rsidR="00A61527">
        <w:t>“As at January 2018, 142 companies have been issued with a credit note for the total value of €</w:t>
      </w:r>
      <w:r w:rsidR="002C6495">
        <w:t> </w:t>
      </w:r>
      <w:r w:rsidR="00A61527">
        <w:t>419,200 whilst 419 companies have paid the amount of €</w:t>
      </w:r>
      <w:r w:rsidR="002C6495">
        <w:t> </w:t>
      </w:r>
      <w:r w:rsidR="00A61527">
        <w:t xml:space="preserve">1,315,600 in contributions. It </w:t>
      </w:r>
      <w:proofErr w:type="gramStart"/>
      <w:r w:rsidR="00A61527">
        <w:t>has to</w:t>
      </w:r>
      <w:proofErr w:type="gramEnd"/>
      <w:r w:rsidR="00A61527">
        <w:t xml:space="preserve"> be noted that 135 companies have not yet settled the invoices issued for a total of €</w:t>
      </w:r>
      <w:r w:rsidR="002C6495">
        <w:t> </w:t>
      </w:r>
      <w:r w:rsidR="00A61527">
        <w:t xml:space="preserve">423,600. A substantial increase in the number of persons with a disability in employment has been noted.” </w:t>
      </w:r>
      <w:r>
        <w:t>However, 150 companies did not align themselves with this legislation, regarding which, the report states, Jobsplus will be taking legal action against them. The income coming from these contributions in 2017 amounted to €</w:t>
      </w:r>
      <w:r w:rsidR="002C6495">
        <w:t> </w:t>
      </w:r>
      <w:r>
        <w:t>1,431,400 (€</w:t>
      </w:r>
      <w:r w:rsidR="002C6495">
        <w:t> </w:t>
      </w:r>
      <w:r>
        <w:t>896,785 of which went towards the Lino Spiteri Foundation (LSF, a partnership between Jobsplus and the private sector); €</w:t>
      </w:r>
      <w:r w:rsidR="002C6495">
        <w:t> </w:t>
      </w:r>
      <w:r>
        <w:t xml:space="preserve">215,707 to the fiscal </w:t>
      </w:r>
      <w:r w:rsidRPr="00134A13">
        <w:t>incentive; and €</w:t>
      </w:r>
      <w:r w:rsidR="002C6495">
        <w:t> </w:t>
      </w:r>
      <w:r w:rsidRPr="00134A13">
        <w:t>223,258 towards inclusive support)</w:t>
      </w:r>
      <w:r>
        <w:t>.</w:t>
      </w:r>
    </w:p>
    <w:p w14:paraId="5D48411B" w14:textId="77777777" w:rsidR="008A6B63" w:rsidRPr="00134A13" w:rsidRDefault="008A6B63" w:rsidP="00E979DE">
      <w:pPr>
        <w:jc w:val="both"/>
      </w:pPr>
    </w:p>
    <w:p w14:paraId="60E60310" w14:textId="1344591B" w:rsidR="00735ACD" w:rsidRDefault="00D40B90" w:rsidP="00D71C8B">
      <w:pPr>
        <w:jc w:val="both"/>
      </w:pPr>
      <w:r>
        <w:t>Jobsplus</w:t>
      </w:r>
      <w:r w:rsidR="003E00F8">
        <w:t xml:space="preserve"> </w:t>
      </w:r>
      <w:r>
        <w:t>offer</w:t>
      </w:r>
      <w:r w:rsidR="00BA19DD">
        <w:t>s</w:t>
      </w:r>
      <w:r>
        <w:t xml:space="preserve"> two schemes targeted at persons with disability</w:t>
      </w:r>
      <w:r w:rsidR="00347EDA">
        <w:t>. The first one,</w:t>
      </w:r>
      <w:r>
        <w:t xml:space="preserve"> </w:t>
      </w:r>
      <w:r w:rsidRPr="002349EE">
        <w:rPr>
          <w:b/>
          <w:bCs/>
        </w:rPr>
        <w:t xml:space="preserve">Bridging </w:t>
      </w:r>
      <w:r w:rsidR="001C42C7">
        <w:rPr>
          <w:b/>
          <w:bCs/>
        </w:rPr>
        <w:t>t</w:t>
      </w:r>
      <w:r w:rsidRPr="002349EE">
        <w:rPr>
          <w:b/>
          <w:bCs/>
        </w:rPr>
        <w:t>he Gap Scheme</w:t>
      </w:r>
      <w:r>
        <w:t xml:space="preserve"> (targeted </w:t>
      </w:r>
      <w:r w:rsidR="002357D4">
        <w:t xml:space="preserve">also </w:t>
      </w:r>
      <w:r>
        <w:t>at registered persons with disability who are registered as unemployed persons)</w:t>
      </w:r>
      <w:r w:rsidR="000E5B4D">
        <w:t>,</w:t>
      </w:r>
      <w:r>
        <w:t xml:space="preserve"> supports people in the transition period from unemployment to employment</w:t>
      </w:r>
      <w:r w:rsidR="002357D4">
        <w:t>. Under this scheme</w:t>
      </w:r>
      <w:r>
        <w:t xml:space="preserve"> a person with a disability is placed with an employer for a work exposure period and receive</w:t>
      </w:r>
      <w:r w:rsidR="002357D4">
        <w:t>s</w:t>
      </w:r>
      <w:r>
        <w:t xml:space="preserve"> 80% of th</w:t>
      </w:r>
      <w:r w:rsidR="00347D93">
        <w:t xml:space="preserve">e minimum wage from </w:t>
      </w:r>
      <w:proofErr w:type="spellStart"/>
      <w:r w:rsidR="00347D93">
        <w:t>Jobsplus</w:t>
      </w:r>
      <w:proofErr w:type="spellEnd"/>
      <w:r w:rsidR="00D71C8B">
        <w:t xml:space="preserve"> (plus </w:t>
      </w:r>
      <w:r w:rsidR="00D71C8B" w:rsidRPr="00D71C8B">
        <w:t>Social Security benefits</w:t>
      </w:r>
      <w:r w:rsidR="00D71C8B">
        <w:t>)</w:t>
      </w:r>
      <w:r w:rsidR="00347D93">
        <w:t xml:space="preserve">. </w:t>
      </w:r>
      <w:r w:rsidR="001669A5">
        <w:t>If the period lasts more than 28 weeks</w:t>
      </w:r>
      <w:r w:rsidR="00A14357">
        <w:t>,</w:t>
      </w:r>
      <w:r w:rsidR="001669A5">
        <w:t xml:space="preserve"> then social security benefits must be given up. </w:t>
      </w:r>
      <w:r w:rsidR="00347D93">
        <w:t xml:space="preserve">In 2017, </w:t>
      </w:r>
      <w:r w:rsidR="00D80FC9">
        <w:t xml:space="preserve">75 persons with a disability benefited from this scheme. Jobsplus reports that out of the 127 participants (including 52 </w:t>
      </w:r>
      <w:r w:rsidR="005B083B">
        <w:t xml:space="preserve">other </w:t>
      </w:r>
      <w:r w:rsidR="00D80FC9">
        <w:t xml:space="preserve">vulnerable jobseekers), </w:t>
      </w:r>
      <w:r w:rsidR="005B083B">
        <w:t>‘</w:t>
      </w:r>
      <w:r w:rsidR="00D80FC9">
        <w:t>68% were employed upon conclusion of the scheme</w:t>
      </w:r>
      <w:r w:rsidR="005B083B">
        <w:t>’</w:t>
      </w:r>
      <w:r w:rsidR="00D80FC9">
        <w:t>.</w:t>
      </w:r>
      <w:r w:rsidR="005B083B">
        <w:rPr>
          <w:rStyle w:val="FootnoteReference"/>
        </w:rPr>
        <w:footnoteReference w:id="19"/>
      </w:r>
      <w:r w:rsidR="00D80FC9">
        <w:t xml:space="preserve"> However, the</w:t>
      </w:r>
      <w:r w:rsidR="005B083B">
        <w:t xml:space="preserve"> report does not disaggregate this </w:t>
      </w:r>
      <w:r w:rsidR="00D80FC9">
        <w:t>statistic</w:t>
      </w:r>
      <w:r w:rsidR="005B083B">
        <w:t xml:space="preserve"> for the disability group</w:t>
      </w:r>
      <w:r w:rsidR="00D80FC9">
        <w:t xml:space="preserve">. </w:t>
      </w:r>
    </w:p>
    <w:p w14:paraId="4CB2DD1F" w14:textId="77777777" w:rsidR="002349EE" w:rsidRDefault="002349EE" w:rsidP="00E979DE">
      <w:pPr>
        <w:jc w:val="both"/>
      </w:pPr>
    </w:p>
    <w:p w14:paraId="2F9363FB" w14:textId="657DD26E" w:rsidR="00962177" w:rsidRDefault="00347EDA" w:rsidP="003A36EA">
      <w:pPr>
        <w:jc w:val="both"/>
      </w:pPr>
      <w:r>
        <w:t>The second one is</w:t>
      </w:r>
      <w:r w:rsidR="00D40B90">
        <w:t xml:space="preserve"> the </w:t>
      </w:r>
      <w:r w:rsidR="00D40B90" w:rsidRPr="002349EE">
        <w:rPr>
          <w:b/>
          <w:bCs/>
        </w:rPr>
        <w:t>Access to Employment Scheme</w:t>
      </w:r>
      <w:r w:rsidR="00D40B90">
        <w:t xml:space="preserve"> (targeted at </w:t>
      </w:r>
      <w:r w:rsidR="003A36EA">
        <w:t xml:space="preserve">various groups of jobseekers furthest from employment) </w:t>
      </w:r>
      <w:r w:rsidR="00D40B90">
        <w:t xml:space="preserve">provides employment </w:t>
      </w:r>
      <w:r w:rsidR="003A36EA">
        <w:t xml:space="preserve">subsidy </w:t>
      </w:r>
      <w:r w:rsidR="00D40B90">
        <w:t xml:space="preserve">to enterprises to promote recruitment. This scheme is co-financed by the European </w:t>
      </w:r>
      <w:r w:rsidR="00D40B90">
        <w:lastRenderedPageBreak/>
        <w:t>Social Fund, the Maltese government and the employers</w:t>
      </w:r>
      <w:r w:rsidR="001C42C7">
        <w:t>.</w:t>
      </w:r>
      <w:r w:rsidR="00D40B90">
        <w:rPr>
          <w:rStyle w:val="FootnoteReference"/>
        </w:rPr>
        <w:footnoteReference w:id="20"/>
      </w:r>
      <w:r w:rsidR="00D40B90">
        <w:t xml:space="preserve"> </w:t>
      </w:r>
      <w:r w:rsidR="00CE1090">
        <w:t xml:space="preserve">The total budget was established at </w:t>
      </w:r>
      <w:r w:rsidR="00CE1090" w:rsidRPr="00CE1090">
        <w:t xml:space="preserve">€12 million </w:t>
      </w:r>
      <w:r w:rsidR="00CE1090">
        <w:t xml:space="preserve">with an expected annual spend not exceeding </w:t>
      </w:r>
      <w:r w:rsidR="00CE1090" w:rsidRPr="00CE1090">
        <w:t>€</w:t>
      </w:r>
      <w:r w:rsidR="002C6495">
        <w:t> </w:t>
      </w:r>
      <w:r w:rsidR="00CE1090" w:rsidRPr="00CE1090">
        <w:t>2.4</w:t>
      </w:r>
      <w:r w:rsidR="002C6495">
        <w:t> </w:t>
      </w:r>
      <w:r w:rsidR="00CE1090" w:rsidRPr="00CE1090">
        <w:t>million</w:t>
      </w:r>
      <w:r w:rsidR="00CE1090">
        <w:t xml:space="preserve">. Within this budget, grants are available to employers on a </w:t>
      </w:r>
      <w:r w:rsidR="00CE1090" w:rsidRPr="00CE1090">
        <w:t>first-come first-served basis</w:t>
      </w:r>
      <w:r w:rsidR="00CE1090">
        <w:t xml:space="preserve"> to subsidise the recruitment of </w:t>
      </w:r>
      <w:r w:rsidR="003A36EA">
        <w:t xml:space="preserve">legally </w:t>
      </w:r>
      <w:r w:rsidR="00CE1090" w:rsidRPr="00CE1090">
        <w:t xml:space="preserve">registered disabled persons, </w:t>
      </w:r>
      <w:r w:rsidR="00CE1090">
        <w:t>at</w:t>
      </w:r>
      <w:r w:rsidR="00CE1090" w:rsidRPr="00CE1090">
        <w:t xml:space="preserve"> €125 per </w:t>
      </w:r>
      <w:r w:rsidR="00CE1090">
        <w:t xml:space="preserve">week for a maximum of 156 weeks (which is more generous than the rate and duration for other </w:t>
      </w:r>
      <w:r w:rsidR="003A36EA">
        <w:t xml:space="preserve">targeted </w:t>
      </w:r>
      <w:r w:rsidR="00CE1090">
        <w:t xml:space="preserve">groups </w:t>
      </w:r>
      <w:r w:rsidR="003A36EA">
        <w:t>in the scheme</w:t>
      </w:r>
      <w:r w:rsidR="00CE1090">
        <w:t xml:space="preserve">). </w:t>
      </w:r>
      <w:r w:rsidR="0031523D" w:rsidRPr="00573567">
        <w:t xml:space="preserve">The </w:t>
      </w:r>
      <w:r w:rsidR="00573567" w:rsidRPr="00573567">
        <w:t>Jobsplus 2017 Annual R</w:t>
      </w:r>
      <w:r w:rsidR="0031523D" w:rsidRPr="00573567">
        <w:t>eport st</w:t>
      </w:r>
      <w:r w:rsidR="001329A1" w:rsidRPr="00573567">
        <w:t>a</w:t>
      </w:r>
      <w:r w:rsidR="0031523D" w:rsidRPr="00573567">
        <w:t>tes that</w:t>
      </w:r>
      <w:r w:rsidR="0031523D">
        <w:t xml:space="preserve"> </w:t>
      </w:r>
      <w:r w:rsidR="00573567">
        <w:t xml:space="preserve">of the 769 persons recruited into employment during the period 2014-2017, 225 </w:t>
      </w:r>
      <w:r w:rsidR="003A36EA">
        <w:t xml:space="preserve">(29%) </w:t>
      </w:r>
      <w:r w:rsidR="00573567">
        <w:t xml:space="preserve">were registered disabled persons. </w:t>
      </w:r>
      <w:r w:rsidR="00FB7165">
        <w:t xml:space="preserve">At the end of 2017, the number of registered jobseekers amounted to 2,167 persons, out of which </w:t>
      </w:r>
      <w:r w:rsidR="005C59DE">
        <w:t>282</w:t>
      </w:r>
      <w:r w:rsidR="00FB7165">
        <w:t xml:space="preserve"> were registered disabled job seekers</w:t>
      </w:r>
      <w:r w:rsidR="005C59DE">
        <w:t>.</w:t>
      </w:r>
      <w:r w:rsidR="009F7228">
        <w:t xml:space="preserve"> </w:t>
      </w:r>
    </w:p>
    <w:p w14:paraId="71CFE486" w14:textId="77777777" w:rsidR="00735ACD" w:rsidRDefault="00735ACD" w:rsidP="00E979DE">
      <w:pPr>
        <w:jc w:val="both"/>
      </w:pPr>
    </w:p>
    <w:p w14:paraId="20AFCB04" w14:textId="26FEA99E" w:rsidR="009130F3" w:rsidRDefault="009130F3" w:rsidP="00E979DE">
      <w:pPr>
        <w:jc w:val="both"/>
      </w:pPr>
      <w:r>
        <w:t xml:space="preserve">There is also the </w:t>
      </w:r>
      <w:r w:rsidRPr="0050532B">
        <w:rPr>
          <w:b/>
          <w:bCs/>
        </w:rPr>
        <w:t>exemption of the employer’s share of the national insurance</w:t>
      </w:r>
      <w:r>
        <w:t xml:space="preserve"> contribution</w:t>
      </w:r>
      <w:r w:rsidR="00F85C08">
        <w:t>, for which Jobsplus processed 207 applications during 2017;</w:t>
      </w:r>
      <w:r w:rsidR="00F85C08" w:rsidRPr="00F85C08">
        <w:t xml:space="preserve"> </w:t>
      </w:r>
      <w:r w:rsidR="00F85C08">
        <w:t>and the fiscal incentive scheme</w:t>
      </w:r>
      <w:r w:rsidR="000E5B4D">
        <w:t xml:space="preserve"> mentioned above</w:t>
      </w:r>
      <w:r w:rsidR="00F85C08">
        <w:t>, for which 46 applications were received by Jobsplus by different employers for the reimbursement of 25% of the basic wage up to a maximum of €</w:t>
      </w:r>
      <w:r w:rsidR="002C6495">
        <w:t> </w:t>
      </w:r>
      <w:r w:rsidR="00F85C08">
        <w:t>4</w:t>
      </w:r>
      <w:r w:rsidR="0050532B">
        <w:t>,</w:t>
      </w:r>
      <w:r w:rsidR="00F85C08">
        <w:t>500 of 101 employees registered as persons with disability</w:t>
      </w:r>
      <w:r w:rsidR="001C42C7">
        <w:t>.</w:t>
      </w:r>
      <w:r w:rsidR="00347EDA">
        <w:rPr>
          <w:rStyle w:val="FootnoteReference"/>
        </w:rPr>
        <w:footnoteReference w:id="21"/>
      </w:r>
    </w:p>
    <w:p w14:paraId="005DCC0E" w14:textId="77777777" w:rsidR="00E87719" w:rsidRDefault="00E87719" w:rsidP="00E979DE">
      <w:pPr>
        <w:jc w:val="both"/>
      </w:pPr>
    </w:p>
    <w:p w14:paraId="71A6E5F7" w14:textId="7BAEFBC1" w:rsidR="00051B99" w:rsidRPr="0017323B" w:rsidRDefault="00051B99" w:rsidP="0050532B">
      <w:pPr>
        <w:jc w:val="both"/>
      </w:pPr>
      <w:r>
        <w:t xml:space="preserve">In August 2017, </w:t>
      </w:r>
      <w:proofErr w:type="spellStart"/>
      <w:r>
        <w:t>Jobsplus</w:t>
      </w:r>
      <w:proofErr w:type="spellEnd"/>
      <w:r>
        <w:t xml:space="preserve"> and </w:t>
      </w:r>
      <w:r w:rsidR="00134A13">
        <w:t xml:space="preserve">LSF </w:t>
      </w:r>
      <w:r w:rsidR="006B1307">
        <w:t xml:space="preserve">launched the VASTE project, an €11 million project which is part funded through ESF 2014-2020. </w:t>
      </w:r>
      <w:r w:rsidR="00A96753">
        <w:t>The project comprises activities aimed to facilitate persons with disabilities</w:t>
      </w:r>
      <w:r w:rsidR="0050532B">
        <w:t>’</w:t>
      </w:r>
      <w:r w:rsidR="00A96753">
        <w:t xml:space="preserve"> (and vulnerable persons) entry into employment. The activities include professional assessments and specific training such as Sheltered Employment Training and Pre-Employment Training. Th</w:t>
      </w:r>
      <w:r w:rsidR="003637DD">
        <w:t>rough th</w:t>
      </w:r>
      <w:r w:rsidR="00A96753">
        <w:t>e former</w:t>
      </w:r>
      <w:r w:rsidR="003637DD">
        <w:t>,</w:t>
      </w:r>
      <w:r w:rsidR="00A96753">
        <w:t xml:space="preserve"> </w:t>
      </w:r>
      <w:r w:rsidR="003637DD">
        <w:t>45 persons with disability received work-related training under the supervision of job coaches</w:t>
      </w:r>
      <w:r w:rsidR="0050532B">
        <w:t xml:space="preserve"> in 2017 and </w:t>
      </w:r>
      <w:r w:rsidR="003637DD">
        <w:t>138 vulnerable jobseekers, including persons with disability, were offered pre-employment training</w:t>
      </w:r>
      <w:r w:rsidR="003637DD" w:rsidRPr="00962177">
        <w:t>.</w:t>
      </w:r>
      <w:r w:rsidR="0050532B" w:rsidRPr="00962177">
        <w:rPr>
          <w:rStyle w:val="FootnoteReference"/>
        </w:rPr>
        <w:footnoteReference w:id="22"/>
      </w:r>
      <w:r w:rsidR="003637DD" w:rsidRPr="00962177">
        <w:t xml:space="preserve"> </w:t>
      </w:r>
      <w:r w:rsidR="00962177" w:rsidRPr="00962177">
        <w:t>I</w:t>
      </w:r>
      <w:r w:rsidR="00962177" w:rsidRPr="00962177">
        <w:rPr>
          <w:lang w:val="mt-MT"/>
        </w:rPr>
        <w:t>t is important to point out that continued investment in Sheltered Employment</w:t>
      </w:r>
      <w:r w:rsidR="0050532B">
        <w:rPr>
          <w:lang w:val="mt-MT"/>
        </w:rPr>
        <w:t>, supported by EU Structural Funds,</w:t>
      </w:r>
      <w:r w:rsidR="00962177" w:rsidRPr="00962177">
        <w:rPr>
          <w:lang w:val="mt-MT"/>
        </w:rPr>
        <w:t xml:space="preserve"> </w:t>
      </w:r>
      <w:r w:rsidR="0050532B">
        <w:rPr>
          <w:lang w:val="mt-MT"/>
        </w:rPr>
        <w:t>that is segmented</w:t>
      </w:r>
      <w:r w:rsidR="0050532B" w:rsidRPr="00962177">
        <w:rPr>
          <w:lang w:val="mt-MT"/>
        </w:rPr>
        <w:t xml:space="preserve"> </w:t>
      </w:r>
      <w:r w:rsidR="00962177" w:rsidRPr="00962177">
        <w:rPr>
          <w:lang w:val="mt-MT"/>
        </w:rPr>
        <w:t xml:space="preserve">specifically </w:t>
      </w:r>
      <w:r w:rsidR="0050532B">
        <w:rPr>
          <w:lang w:val="mt-MT"/>
        </w:rPr>
        <w:t>for</w:t>
      </w:r>
      <w:r w:rsidR="0050532B" w:rsidRPr="00962177">
        <w:rPr>
          <w:lang w:val="mt-MT"/>
        </w:rPr>
        <w:t xml:space="preserve"> </w:t>
      </w:r>
      <w:r w:rsidR="00962177" w:rsidRPr="00962177">
        <w:rPr>
          <w:lang w:val="mt-MT"/>
        </w:rPr>
        <w:t xml:space="preserve">persons with mental, physical and/or intellectual impairment </w:t>
      </w:r>
      <w:r w:rsidR="0050532B">
        <w:rPr>
          <w:lang w:val="mt-MT"/>
        </w:rPr>
        <w:t>may be</w:t>
      </w:r>
      <w:r w:rsidR="0050532B" w:rsidRPr="00962177">
        <w:rPr>
          <w:lang w:val="mt-MT"/>
        </w:rPr>
        <w:t xml:space="preserve"> </w:t>
      </w:r>
      <w:r w:rsidR="0050532B">
        <w:rPr>
          <w:lang w:val="mt-MT"/>
        </w:rPr>
        <w:t xml:space="preserve">interpreted as </w:t>
      </w:r>
      <w:r w:rsidR="00962177" w:rsidRPr="00962177">
        <w:rPr>
          <w:lang w:val="mt-MT"/>
        </w:rPr>
        <w:t xml:space="preserve">incompatible with </w:t>
      </w:r>
      <w:r w:rsidR="0050532B">
        <w:rPr>
          <w:lang w:val="mt-MT"/>
        </w:rPr>
        <w:t xml:space="preserve">the principle of </w:t>
      </w:r>
      <w:r w:rsidR="00F835CF">
        <w:t>a</w:t>
      </w:r>
      <w:r w:rsidR="00962177" w:rsidRPr="00962177">
        <w:rPr>
          <w:lang w:val="mt-MT"/>
        </w:rPr>
        <w:t>rticle 27 of the UNCPRD</w:t>
      </w:r>
      <w:r w:rsidR="0050532B">
        <w:rPr>
          <w:lang w:val="mt-MT"/>
        </w:rPr>
        <w:t xml:space="preserve"> to support opportunities for work freely chosen in an open labour market</w:t>
      </w:r>
      <w:r w:rsidR="00962177" w:rsidRPr="00962177">
        <w:rPr>
          <w:lang w:val="mt-MT"/>
        </w:rPr>
        <w:t>. Thus, we encourage the European Commission to continue monitorin</w:t>
      </w:r>
      <w:r w:rsidR="00962177">
        <w:rPr>
          <w:lang w:val="mt-MT"/>
        </w:rPr>
        <w:t xml:space="preserve">g developments in this regard. </w:t>
      </w:r>
    </w:p>
    <w:p w14:paraId="351FB14D" w14:textId="77777777" w:rsidR="00F85C08" w:rsidRPr="00962177" w:rsidRDefault="00F85C08" w:rsidP="00E979DE">
      <w:pPr>
        <w:jc w:val="both"/>
      </w:pPr>
    </w:p>
    <w:p w14:paraId="272AF375" w14:textId="54AF507A" w:rsidR="00CD36AD" w:rsidRDefault="008909EE" w:rsidP="00FE21B4">
      <w:pPr>
        <w:jc w:val="both"/>
      </w:pPr>
      <w:r w:rsidRPr="00D71C8B">
        <w:t>There has been a substantial and continuing drop in the number of registered jobseekers in Malta</w:t>
      </w:r>
      <w:r w:rsidR="007D22DA" w:rsidRPr="00D71C8B">
        <w:t xml:space="preserve"> (</w:t>
      </w:r>
      <w:r w:rsidR="00FE21B4" w:rsidRPr="00D71C8B">
        <w:t xml:space="preserve">declining </w:t>
      </w:r>
      <w:r w:rsidR="007D22DA" w:rsidRPr="00D71C8B">
        <w:t>b</w:t>
      </w:r>
      <w:r w:rsidRPr="00D71C8B">
        <w:t>y more than 70% since 2013</w:t>
      </w:r>
      <w:r w:rsidR="007D22DA" w:rsidRPr="00D71C8B">
        <w:t>)</w:t>
      </w:r>
      <w:r w:rsidRPr="00D71C8B">
        <w:t xml:space="preserve"> and, i</w:t>
      </w:r>
      <w:r w:rsidR="00D40B90" w:rsidRPr="00D71C8B">
        <w:t xml:space="preserve">n its annual report of 2017, Jobsplus </w:t>
      </w:r>
      <w:r w:rsidRPr="00D71C8B">
        <w:t xml:space="preserve">confirms </w:t>
      </w:r>
      <w:r w:rsidR="00D40B90" w:rsidRPr="00D71C8B">
        <w:t xml:space="preserve">that the number of persons with a disability who were registering </w:t>
      </w:r>
      <w:r w:rsidR="00CD36AD" w:rsidRPr="00D71C8B">
        <w:t xml:space="preserve">for </w:t>
      </w:r>
      <w:r w:rsidR="00D40B90" w:rsidRPr="00D71C8B">
        <w:t xml:space="preserve">work </w:t>
      </w:r>
      <w:r w:rsidR="00FE21B4" w:rsidRPr="00D71C8B">
        <w:t xml:space="preserve">also </w:t>
      </w:r>
      <w:r w:rsidR="00D40B90" w:rsidRPr="00D71C8B">
        <w:t>decreased</w:t>
      </w:r>
      <w:r w:rsidRPr="00D71C8B">
        <w:t xml:space="preserve"> </w:t>
      </w:r>
      <w:r w:rsidR="004B042F" w:rsidRPr="00D71C8B">
        <w:t>(which they choose to attribute to policy</w:t>
      </w:r>
      <w:r w:rsidR="00D40B90" w:rsidRPr="00D71C8B">
        <w:t xml:space="preserve"> measures</w:t>
      </w:r>
      <w:r w:rsidR="004B042F" w:rsidRPr="00D71C8B">
        <w:t xml:space="preserve"> rather than </w:t>
      </w:r>
      <w:r w:rsidR="00FE21B4" w:rsidRPr="00D71C8B">
        <w:t xml:space="preserve">general </w:t>
      </w:r>
      <w:r w:rsidR="004B042F" w:rsidRPr="00D71C8B">
        <w:t>labour market conditions)</w:t>
      </w:r>
      <w:r w:rsidR="00D40B90" w:rsidRPr="00D71C8B">
        <w:t xml:space="preserve">. </w:t>
      </w:r>
      <w:r w:rsidR="004B042F" w:rsidRPr="00D71C8B">
        <w:t xml:space="preserve">In fact, EU-SILC estimates suggest that the disability unemployment rate has not </w:t>
      </w:r>
      <w:r w:rsidR="00996E4C" w:rsidRPr="00D71C8B">
        <w:t>improved</w:t>
      </w:r>
      <w:r w:rsidR="004B042F" w:rsidRPr="00D71C8B">
        <w:t xml:space="preserve"> in line with </w:t>
      </w:r>
      <w:r w:rsidR="00FE21B4" w:rsidRPr="00D71C8B">
        <w:t xml:space="preserve">trends for </w:t>
      </w:r>
      <w:r w:rsidR="004B042F" w:rsidRPr="00D71C8B">
        <w:t xml:space="preserve">the general unemployment rate (see </w:t>
      </w:r>
      <w:r w:rsidR="004B042F" w:rsidRPr="00D71C8B">
        <w:fldChar w:fldCharType="begin"/>
      </w:r>
      <w:r w:rsidR="004B042F" w:rsidRPr="00D71C8B">
        <w:instrText xml:space="preserve"> REF _Ref520887905 \h </w:instrText>
      </w:r>
      <w:r w:rsidR="00D71C8B">
        <w:instrText xml:space="preserve"> \* MERGEFORMAT </w:instrText>
      </w:r>
      <w:r w:rsidR="004B042F" w:rsidRPr="00D71C8B">
        <w:fldChar w:fldCharType="separate"/>
      </w:r>
      <w:r w:rsidR="00FE3D2A">
        <w:t xml:space="preserve">Table </w:t>
      </w:r>
      <w:r w:rsidR="00FE3D2A">
        <w:rPr>
          <w:noProof/>
        </w:rPr>
        <w:t>8</w:t>
      </w:r>
      <w:r w:rsidR="004B042F" w:rsidRPr="00D71C8B">
        <w:fldChar w:fldCharType="end"/>
      </w:r>
      <w:r w:rsidR="004B042F" w:rsidRPr="00D71C8B">
        <w:t xml:space="preserve"> in annex). </w:t>
      </w:r>
      <w:r w:rsidR="00FE21B4" w:rsidRPr="00D71C8B">
        <w:t xml:space="preserve">In this sense, disabled job seekers risk being left behind in the economic recovery. </w:t>
      </w:r>
      <w:r w:rsidR="00D40B90" w:rsidRPr="00D71C8B">
        <w:t xml:space="preserve">During 2017, Jobsplus conducted several visits to employers, </w:t>
      </w:r>
      <w:proofErr w:type="gramStart"/>
      <w:r w:rsidR="00D40B90" w:rsidRPr="00D71C8B">
        <w:t>as a result of</w:t>
      </w:r>
      <w:proofErr w:type="gramEnd"/>
      <w:r w:rsidR="00D40B90" w:rsidRPr="00D71C8B">
        <w:t xml:space="preserve"> which </w:t>
      </w:r>
      <w:r w:rsidR="008F1A72" w:rsidRPr="00D71C8B">
        <w:t>‘</w:t>
      </w:r>
      <w:r w:rsidR="00D40B90" w:rsidRPr="00D71C8B">
        <w:t>23 employers showed interest in employing persons with a disability</w:t>
      </w:r>
      <w:r w:rsidR="008F1A72" w:rsidRPr="00D71C8B">
        <w:t>’ (p. 17)</w:t>
      </w:r>
      <w:r w:rsidR="00D40B90" w:rsidRPr="00D71C8B">
        <w:t xml:space="preserve">. </w:t>
      </w:r>
      <w:r w:rsidR="0017323B" w:rsidRPr="00D71C8B">
        <w:t xml:space="preserve">During 2017, the LSF - which has been in operation since 2015 – continued to provide support </w:t>
      </w:r>
      <w:r w:rsidR="00DB3090" w:rsidRPr="00D71C8B">
        <w:t>to both companies and individuals, with the aim of facilitating disabled people’s employment.</w:t>
      </w:r>
      <w:r w:rsidR="0017323B" w:rsidRPr="00D71C8B">
        <w:t xml:space="preserve"> </w:t>
      </w:r>
      <w:r w:rsidR="00DB3090" w:rsidRPr="00D71C8B">
        <w:t>This was done through three different services:</w:t>
      </w:r>
      <w:r w:rsidR="00A65D62" w:rsidRPr="00D71C8B">
        <w:t xml:space="preserve"> </w:t>
      </w:r>
      <w:r w:rsidR="00DB3090" w:rsidRPr="00D71C8B">
        <w:t>‘</w:t>
      </w:r>
      <w:r w:rsidR="00A65D62" w:rsidRPr="00D71C8B">
        <w:t xml:space="preserve">profiling and guidance, corporate relations, </w:t>
      </w:r>
      <w:r w:rsidR="00A65D62" w:rsidRPr="00D71C8B">
        <w:lastRenderedPageBreak/>
        <w:t>and job coaching</w:t>
      </w:r>
      <w:r w:rsidR="00DB3090" w:rsidRPr="00D71C8B">
        <w:t>’ (p. 42)</w:t>
      </w:r>
      <w:r w:rsidR="00A65D62" w:rsidRPr="00D71C8B">
        <w:t xml:space="preserve">. By the end of 2017, LSF had been </w:t>
      </w:r>
      <w:r w:rsidR="00DB3090" w:rsidRPr="00D71C8B">
        <w:t>‘</w:t>
      </w:r>
      <w:r w:rsidR="00A65D62" w:rsidRPr="00D71C8B">
        <w:t>directly responsible for the employment of 92 individuals</w:t>
      </w:r>
      <w:r w:rsidR="00DB3090" w:rsidRPr="00D71C8B">
        <w:t xml:space="preserve"> and</w:t>
      </w:r>
      <w:r w:rsidR="00A65D62" w:rsidRPr="00D71C8B">
        <w:t xml:space="preserve"> indirectly responsible for more than another 120 individuals</w:t>
      </w:r>
      <w:r w:rsidR="00DB3090" w:rsidRPr="00D71C8B">
        <w:t>’ (p.42). LSF also</w:t>
      </w:r>
      <w:r w:rsidR="00A65D62" w:rsidRPr="00D71C8B">
        <w:t xml:space="preserve"> provided </w:t>
      </w:r>
      <w:r w:rsidR="00DB3090" w:rsidRPr="00D71C8B">
        <w:t xml:space="preserve">job </w:t>
      </w:r>
      <w:r w:rsidR="00A65D62" w:rsidRPr="00D71C8B">
        <w:t xml:space="preserve">support </w:t>
      </w:r>
      <w:r w:rsidR="00DB3090" w:rsidRPr="00D71C8B">
        <w:t>to around 300 persons with disabilities</w:t>
      </w:r>
      <w:r w:rsidR="00A65D62" w:rsidRPr="00D71C8B">
        <w:t xml:space="preserve">. </w:t>
      </w:r>
      <w:r w:rsidR="000A4DB0" w:rsidRPr="00D71C8B">
        <w:t>In general, LSF focused on retention of employment during 2017</w:t>
      </w:r>
      <w:r w:rsidR="001C42C7">
        <w:t>.</w:t>
      </w:r>
      <w:r w:rsidR="00347EDA" w:rsidRPr="00D71C8B">
        <w:rPr>
          <w:rStyle w:val="FootnoteReference"/>
        </w:rPr>
        <w:footnoteReference w:id="23"/>
      </w:r>
    </w:p>
    <w:p w14:paraId="593753D3" w14:textId="77777777" w:rsidR="00E87719" w:rsidRDefault="00E87719" w:rsidP="00FE21B4">
      <w:pPr>
        <w:jc w:val="both"/>
      </w:pPr>
    </w:p>
    <w:p w14:paraId="11A4C17D" w14:textId="261FFCCB" w:rsidR="00E87719" w:rsidRDefault="00E87719" w:rsidP="00FE21B4">
      <w:pPr>
        <w:jc w:val="both"/>
      </w:pPr>
      <w:r w:rsidRPr="00003EC0">
        <w:t xml:space="preserve">It </w:t>
      </w:r>
      <w:r>
        <w:t>should</w:t>
      </w:r>
      <w:r w:rsidRPr="00003EC0">
        <w:t xml:space="preserve"> also be noted that according to a Budget 2015 measure disabled people can continue to receive a disability pension </w:t>
      </w:r>
      <w:proofErr w:type="gramStart"/>
      <w:r w:rsidRPr="00003EC0">
        <w:t>despite the fact that</w:t>
      </w:r>
      <w:proofErr w:type="gramEnd"/>
      <w:r w:rsidRPr="00003EC0">
        <w:t xml:space="preserve"> they are in employment</w:t>
      </w:r>
      <w:r>
        <w:t>. This</w:t>
      </w:r>
      <w:r w:rsidRPr="00003EC0">
        <w:t xml:space="preserve"> has decreased the benefits trap and </w:t>
      </w:r>
      <w:r>
        <w:t>may have</w:t>
      </w:r>
      <w:r w:rsidRPr="00003EC0">
        <w:t xml:space="preserve"> encouraged more disabled people to seek employment. </w:t>
      </w:r>
    </w:p>
    <w:p w14:paraId="5E0E7148" w14:textId="35CA9EDB" w:rsidR="00D40B90" w:rsidRDefault="000A4DB0" w:rsidP="00E979DE">
      <w:pPr>
        <w:jc w:val="both"/>
      </w:pPr>
      <w:r>
        <w:t xml:space="preserve"> </w:t>
      </w:r>
    </w:p>
    <w:p w14:paraId="6C502CFB" w14:textId="2FE7C349" w:rsidR="004974BB" w:rsidRPr="009123AA" w:rsidRDefault="004974BB" w:rsidP="00AD4196">
      <w:pPr>
        <w:jc w:val="both"/>
        <w:rPr>
          <w:color w:val="FF0000"/>
          <w:lang w:val="mt-MT"/>
        </w:rPr>
      </w:pPr>
      <w:r w:rsidRPr="001D5277">
        <w:t xml:space="preserve">In 2016, </w:t>
      </w:r>
      <w:proofErr w:type="spellStart"/>
      <w:r w:rsidR="00033003" w:rsidRPr="00033003">
        <w:rPr>
          <w:i/>
        </w:rPr>
        <w:t>Aġenzija</w:t>
      </w:r>
      <w:proofErr w:type="spellEnd"/>
      <w:r w:rsidR="00033003" w:rsidRPr="00033003">
        <w:rPr>
          <w:i/>
        </w:rPr>
        <w:t xml:space="preserve"> </w:t>
      </w:r>
      <w:proofErr w:type="spellStart"/>
      <w:r w:rsidR="00033003" w:rsidRPr="00033003">
        <w:rPr>
          <w:i/>
        </w:rPr>
        <w:t>Sapport</w:t>
      </w:r>
      <w:proofErr w:type="spellEnd"/>
      <w:r w:rsidRPr="001D5277">
        <w:t xml:space="preserve">, the national disability agency, started operating the </w:t>
      </w:r>
      <w:r w:rsidRPr="00AD4196">
        <w:rPr>
          <w:b/>
          <w:bCs/>
        </w:rPr>
        <w:t>Job Enhancing Skills Scheme</w:t>
      </w:r>
      <w:r w:rsidRPr="001D5277">
        <w:t xml:space="preserve"> (JESS</w:t>
      </w:r>
      <w:r>
        <w:t xml:space="preserve"> – a pilot project</w:t>
      </w:r>
      <w:r w:rsidRPr="001D5277">
        <w:t>)</w:t>
      </w:r>
      <w:r w:rsidR="001C42C7">
        <w:t>,</w:t>
      </w:r>
      <w:r>
        <w:rPr>
          <w:rStyle w:val="FootnoteReference"/>
        </w:rPr>
        <w:footnoteReference w:id="24"/>
      </w:r>
      <w:r w:rsidRPr="001D5277">
        <w:t xml:space="preserve"> aiming at strengthening the abilities of persons with a disability by offering job </w:t>
      </w:r>
      <w:r w:rsidR="00AD4196">
        <w:t xml:space="preserve">placement </w:t>
      </w:r>
      <w:r w:rsidRPr="001D5277">
        <w:t xml:space="preserve">opportunities and training to develop new skills to increase the possibilities of seeking gainful employment. </w:t>
      </w:r>
      <w:r w:rsidRPr="00003EC0">
        <w:rPr>
          <w:lang w:val="mt-MT"/>
        </w:rPr>
        <w:t xml:space="preserve">However, to date there no statistics or other research about how persons with disabiltiy are making use of </w:t>
      </w:r>
      <w:r w:rsidR="00AD4196">
        <w:rPr>
          <w:lang w:val="mt-MT"/>
        </w:rPr>
        <w:t>or</w:t>
      </w:r>
      <w:r w:rsidR="00AD4196" w:rsidRPr="00003EC0">
        <w:rPr>
          <w:lang w:val="mt-MT"/>
        </w:rPr>
        <w:t xml:space="preserve"> </w:t>
      </w:r>
      <w:r w:rsidRPr="00003EC0">
        <w:rPr>
          <w:lang w:val="mt-MT"/>
        </w:rPr>
        <w:t xml:space="preserve">benefitting from these schemes. </w:t>
      </w:r>
    </w:p>
    <w:p w14:paraId="5ADA969D" w14:textId="77777777" w:rsidR="004974BB" w:rsidRPr="009123AA" w:rsidRDefault="004974BB" w:rsidP="004974BB">
      <w:pPr>
        <w:rPr>
          <w:color w:val="FF0000"/>
        </w:rPr>
      </w:pPr>
    </w:p>
    <w:p w14:paraId="2894BA52" w14:textId="7E84F6B0" w:rsidR="0076712C" w:rsidRDefault="00F32A60" w:rsidP="00AD4196">
      <w:pPr>
        <w:jc w:val="both"/>
      </w:pPr>
      <w:r w:rsidRPr="001D5277">
        <w:t xml:space="preserve">The </w:t>
      </w:r>
      <w:r w:rsidR="00FF1791" w:rsidRPr="001D5277">
        <w:t>NRP</w:t>
      </w:r>
      <w:r w:rsidRPr="001D5277">
        <w:t xml:space="preserve"> reports that a</w:t>
      </w:r>
      <w:r w:rsidR="0076712C" w:rsidRPr="001D5277">
        <w:t xml:space="preserve">ddressing skills and labour shortages and upskilling of the labour force are important priorities for the Government. </w:t>
      </w:r>
      <w:r w:rsidR="00833A69" w:rsidRPr="001D5277">
        <w:t>O</w:t>
      </w:r>
      <w:r w:rsidR="0076712C" w:rsidRPr="001D5277">
        <w:t>ngoing programmes, such</w:t>
      </w:r>
      <w:r w:rsidR="00833A69" w:rsidRPr="001D5277">
        <w:t xml:space="preserve"> </w:t>
      </w:r>
      <w:r w:rsidR="0076712C" w:rsidRPr="001D5277">
        <w:t>as the Youth Guarantee NEET Activation Scheme II, the LEAP Education Project and</w:t>
      </w:r>
      <w:r w:rsidR="00833A69" w:rsidRPr="001D5277">
        <w:t xml:space="preserve"> </w:t>
      </w:r>
      <w:r w:rsidR="0076712C" w:rsidRPr="001D5277">
        <w:t>the National Apprenticeship Scheme aim to facilitate the progression from education</w:t>
      </w:r>
      <w:r w:rsidR="00833A69" w:rsidRPr="001D5277">
        <w:t xml:space="preserve"> </w:t>
      </w:r>
      <w:r w:rsidR="0076712C" w:rsidRPr="001D5277">
        <w:t>or inactivity to employment</w:t>
      </w:r>
      <w:r w:rsidR="00833A69" w:rsidRPr="001D5277">
        <w:t>. In 2017, the Skills Aid Scheme was introduced to promote the training of persons that are already active within the labour market (although it is unclear if / how persons with disabilities are included in this scheme and other mentioned programmes)</w:t>
      </w:r>
      <w:r w:rsidR="0076712C" w:rsidRPr="001D5277">
        <w:t xml:space="preserve">. </w:t>
      </w:r>
      <w:r w:rsidR="00AD4196">
        <w:t>In general, the evaluation of all employment activation and support schemes would benefit from greater availability and analysis of disaggregated disability data concerning participation and outcomes.</w:t>
      </w:r>
    </w:p>
    <w:p w14:paraId="0EDE34A9" w14:textId="77777777" w:rsidR="006A5AA3" w:rsidRPr="009123AA" w:rsidRDefault="006A5AA3" w:rsidP="004974BB">
      <w:pPr>
        <w:jc w:val="both"/>
        <w:rPr>
          <w:color w:val="FF0000"/>
        </w:rPr>
      </w:pPr>
    </w:p>
    <w:p w14:paraId="08B78A36" w14:textId="18C50F4B" w:rsidR="00D0292C" w:rsidRDefault="00DE4BC5" w:rsidP="00A14357">
      <w:pPr>
        <w:pStyle w:val="Heading1"/>
      </w:pPr>
      <w:bookmarkStart w:id="9" w:name="_Toc2697719"/>
      <w:r>
        <w:lastRenderedPageBreak/>
        <w:t>Disability,</w:t>
      </w:r>
      <w:r w:rsidR="00172D74">
        <w:t xml:space="preserve"> education </w:t>
      </w:r>
      <w:r>
        <w:t xml:space="preserve">and skills – analysis of the </w:t>
      </w:r>
      <w:r w:rsidR="00172D74">
        <w:t xml:space="preserve">situation and </w:t>
      </w:r>
      <w:r>
        <w:t xml:space="preserve">the </w:t>
      </w:r>
      <w:r w:rsidR="00172D74">
        <w:t>effectiveness of policies</w:t>
      </w:r>
      <w:bookmarkEnd w:id="9"/>
    </w:p>
    <w:p w14:paraId="23EC74F0" w14:textId="77777777" w:rsidR="00CC3BFD" w:rsidRDefault="00CC3BFD" w:rsidP="00AF323E">
      <w:pPr>
        <w:rPr>
          <w:color w:val="92D050"/>
        </w:rPr>
      </w:pPr>
    </w:p>
    <w:p w14:paraId="63F89498" w14:textId="1D83CFF5" w:rsidR="00013744" w:rsidRDefault="008306A5" w:rsidP="00946F50">
      <w:pPr>
        <w:pStyle w:val="Body"/>
        <w:pBdr>
          <w:top w:val="none" w:sz="0" w:space="0" w:color="auto"/>
          <w:left w:val="none" w:sz="0" w:space="0" w:color="auto"/>
          <w:bottom w:val="none" w:sz="0" w:space="0" w:color="auto"/>
          <w:right w:val="none" w:sz="0" w:space="0" w:color="auto"/>
          <w:bar w:val="none" w:sz="0" w:color="auto"/>
        </w:pBdr>
        <w:spacing w:before="0" w:line="240" w:lineRule="auto"/>
        <w:jc w:val="both"/>
        <w:rPr>
          <w:rFonts w:hAnsi="Arial" w:cs="Arial"/>
          <w:lang w:val="en-GB"/>
        </w:rPr>
      </w:pPr>
      <w:r>
        <w:rPr>
          <w:rFonts w:hAnsi="Arial" w:cs="Arial"/>
          <w:lang w:val="en-GB"/>
        </w:rPr>
        <w:t>The NRP 2018</w:t>
      </w:r>
      <w:r w:rsidR="00013744" w:rsidRPr="00003EC0">
        <w:rPr>
          <w:rFonts w:hAnsi="Arial" w:cs="Arial"/>
          <w:lang w:val="en-GB"/>
        </w:rPr>
        <w:t xml:space="preserve"> does not </w:t>
      </w:r>
      <w:r w:rsidR="00946F50">
        <w:rPr>
          <w:rFonts w:hAnsi="Arial" w:cs="Arial"/>
          <w:lang w:val="en-GB"/>
        </w:rPr>
        <w:t>present</w:t>
      </w:r>
      <w:r w:rsidR="00946F50" w:rsidRPr="00003EC0">
        <w:rPr>
          <w:rFonts w:hAnsi="Arial" w:cs="Arial"/>
          <w:lang w:val="en-GB"/>
        </w:rPr>
        <w:t xml:space="preserve"> </w:t>
      </w:r>
      <w:r w:rsidR="00013744" w:rsidRPr="00003EC0">
        <w:rPr>
          <w:rFonts w:hAnsi="Arial" w:cs="Arial"/>
          <w:lang w:val="en-GB"/>
        </w:rPr>
        <w:t>any education targets and measures spe</w:t>
      </w:r>
      <w:r>
        <w:rPr>
          <w:rFonts w:hAnsi="Arial" w:cs="Arial"/>
          <w:lang w:val="en-GB"/>
        </w:rPr>
        <w:t>cifically related to disability</w:t>
      </w:r>
      <w:r w:rsidR="00013744" w:rsidRPr="00003EC0">
        <w:rPr>
          <w:rFonts w:hAnsi="Arial" w:cs="Arial"/>
          <w:lang w:val="en-GB"/>
        </w:rPr>
        <w:t xml:space="preserve">. </w:t>
      </w:r>
    </w:p>
    <w:p w14:paraId="57E19075" w14:textId="77777777" w:rsidR="00FF1694" w:rsidRPr="00FF1694" w:rsidRDefault="00FF1694" w:rsidP="00013744">
      <w:pPr>
        <w:pStyle w:val="Body"/>
        <w:pBdr>
          <w:top w:val="none" w:sz="0" w:space="0" w:color="auto"/>
          <w:left w:val="none" w:sz="0" w:space="0" w:color="auto"/>
          <w:bottom w:val="none" w:sz="0" w:space="0" w:color="auto"/>
          <w:right w:val="none" w:sz="0" w:space="0" w:color="auto"/>
          <w:bar w:val="none" w:sz="0" w:color="auto"/>
        </w:pBdr>
        <w:spacing w:before="0" w:line="240" w:lineRule="auto"/>
        <w:jc w:val="both"/>
        <w:rPr>
          <w:rFonts w:hAnsi="Arial" w:cs="Arial"/>
          <w:color w:val="auto"/>
          <w:lang w:val="en-GB"/>
        </w:rPr>
      </w:pPr>
    </w:p>
    <w:p w14:paraId="78F7DCE1" w14:textId="664A565F" w:rsidR="00FF1694" w:rsidRPr="00F3641E" w:rsidRDefault="00FF1694" w:rsidP="00FF1694">
      <w:pPr>
        <w:pStyle w:val="Body"/>
        <w:pBdr>
          <w:top w:val="none" w:sz="0" w:space="0" w:color="auto"/>
          <w:left w:val="none" w:sz="0" w:space="0" w:color="auto"/>
          <w:bottom w:val="none" w:sz="0" w:space="0" w:color="auto"/>
          <w:right w:val="none" w:sz="0" w:space="0" w:color="auto"/>
          <w:bar w:val="none" w:sz="0" w:color="auto"/>
        </w:pBdr>
        <w:spacing w:before="0" w:line="240" w:lineRule="auto"/>
        <w:jc w:val="both"/>
        <w:rPr>
          <w:rFonts w:hAnsi="Arial" w:cs="Arial"/>
          <w:color w:val="auto"/>
          <w:lang w:val="en-GB"/>
        </w:rPr>
      </w:pPr>
      <w:r w:rsidRPr="00FF1694">
        <w:rPr>
          <w:rFonts w:hAnsi="Arial" w:cs="Arial"/>
          <w:color w:val="auto"/>
          <w:lang w:val="en-GB"/>
        </w:rPr>
        <w:t xml:space="preserve">The </w:t>
      </w:r>
      <w:r w:rsidR="00946F50">
        <w:rPr>
          <w:rFonts w:hAnsi="Arial" w:cs="Arial"/>
          <w:color w:val="auto"/>
          <w:lang w:val="en-GB"/>
        </w:rPr>
        <w:t xml:space="preserve">EU-SILC </w:t>
      </w:r>
      <w:r w:rsidRPr="00FF1694">
        <w:rPr>
          <w:rFonts w:hAnsi="Arial" w:cs="Arial"/>
          <w:color w:val="auto"/>
          <w:lang w:val="en-GB"/>
        </w:rPr>
        <w:t xml:space="preserve">educational data indicators for Malta need to be treated with some caution, considering the small sample sizes, but consistently suggest that early school leaving rates for young disabled people are the highest in Europe and with a relatively wide disability gap compared to other Member </w:t>
      </w:r>
      <w:r w:rsidRPr="00F3641E">
        <w:rPr>
          <w:rFonts w:hAnsi="Arial" w:cs="Arial"/>
          <w:color w:val="auto"/>
          <w:lang w:val="en-GB"/>
        </w:rPr>
        <w:t>States. The indicative data also places Malta close to the bottom of the scale for tertiary educational attainment. These indications present a considerable concern that should be confirmed and monitored from national data sources, if possible.</w:t>
      </w:r>
      <w:r w:rsidR="00946F50">
        <w:rPr>
          <w:rStyle w:val="FootnoteReference"/>
          <w:rFonts w:hAnsi="Arial" w:cs="Arial"/>
          <w:color w:val="auto"/>
          <w:lang w:val="en-GB"/>
        </w:rPr>
        <w:footnoteReference w:id="25"/>
      </w:r>
    </w:p>
    <w:p w14:paraId="2A3705DA" w14:textId="77777777" w:rsidR="00013744" w:rsidRDefault="00013744" w:rsidP="00AF323E"/>
    <w:p w14:paraId="513BD84E" w14:textId="6DE52E14" w:rsidR="000B3B0B" w:rsidRDefault="004D5C41" w:rsidP="000B3B0B">
      <w:pPr>
        <w:jc w:val="both"/>
      </w:pPr>
      <w:r w:rsidRPr="004D5C41">
        <w:t xml:space="preserve">The 2018 </w:t>
      </w:r>
      <w:r w:rsidR="00E80248" w:rsidRPr="004D5C41">
        <w:t xml:space="preserve">European Semester </w:t>
      </w:r>
      <w:r w:rsidR="00CC3BFD" w:rsidRPr="004D5C41">
        <w:t>C</w:t>
      </w:r>
      <w:r w:rsidRPr="004D5C41">
        <w:t>ountry R</w:t>
      </w:r>
      <w:r w:rsidR="00CC3BFD" w:rsidRPr="004D5C41">
        <w:t>eport</w:t>
      </w:r>
      <w:r w:rsidRPr="004D5C41">
        <w:t xml:space="preserve"> for Malta</w:t>
      </w:r>
      <w:r w:rsidRPr="004D5C41">
        <w:rPr>
          <w:rStyle w:val="FootnoteReference"/>
        </w:rPr>
        <w:footnoteReference w:id="26"/>
      </w:r>
      <w:r>
        <w:t xml:space="preserve"> reports that </w:t>
      </w:r>
      <w:proofErr w:type="gramStart"/>
      <w:r>
        <w:t>in spite of</w:t>
      </w:r>
      <w:proofErr w:type="gramEnd"/>
      <w:r>
        <w:t xml:space="preserve"> improvements in recent years, </w:t>
      </w:r>
      <w:r w:rsidRPr="004D5C41">
        <w:t xml:space="preserve">the </w:t>
      </w:r>
      <w:r w:rsidR="00E80248" w:rsidRPr="004D5C41">
        <w:rPr>
          <w:bCs/>
        </w:rPr>
        <w:t>early school leaving (ESL) rate</w:t>
      </w:r>
      <w:r w:rsidRPr="004D5C41">
        <w:rPr>
          <w:bCs/>
        </w:rPr>
        <w:t xml:space="preserve"> in Malta</w:t>
      </w:r>
      <w:r w:rsidR="00E80248" w:rsidRPr="004D5C41">
        <w:rPr>
          <w:bCs/>
        </w:rPr>
        <w:t xml:space="preserve"> </w:t>
      </w:r>
      <w:r w:rsidRPr="004D5C41">
        <w:t>is still far from reaching its ambitious Eu</w:t>
      </w:r>
      <w:r w:rsidR="008E371C">
        <w:t>rope 2020 national target of 10</w:t>
      </w:r>
      <w:r w:rsidRPr="004D5C41">
        <w:t xml:space="preserve">%. </w:t>
      </w:r>
      <w:r w:rsidR="00E80248" w:rsidRPr="004D5C41">
        <w:t>In 2016, Malta had one of the highest</w:t>
      </w:r>
      <w:r w:rsidR="006237F1">
        <w:t xml:space="preserve"> ESL </w:t>
      </w:r>
      <w:r w:rsidR="00A14357">
        <w:t>rates</w:t>
      </w:r>
      <w:r w:rsidR="006237F1">
        <w:t xml:space="preserve"> (19.6 %) in the EU</w:t>
      </w:r>
      <w:r w:rsidRPr="004D5C41">
        <w:t>.</w:t>
      </w:r>
      <w:r w:rsidR="006237F1">
        <w:t xml:space="preserve"> In 2017, it was 18.6%, remaining the highest in the EU and showing little improvement</w:t>
      </w:r>
      <w:r w:rsidR="000B3B0B">
        <w:t>, according to the EU-LFS data</w:t>
      </w:r>
      <w:r w:rsidR="006237F1">
        <w:t>.</w:t>
      </w:r>
      <w:r w:rsidR="00E80248" w:rsidRPr="004D5C41">
        <w:t xml:space="preserve"> The rate is especially high for</w:t>
      </w:r>
      <w:r w:rsidR="008E371C">
        <w:t xml:space="preserve"> people with disabilities (39.5</w:t>
      </w:r>
      <w:r w:rsidR="00E80248" w:rsidRPr="004D5C41">
        <w:t>% c</w:t>
      </w:r>
      <w:r w:rsidR="008E371C">
        <w:t>ompared to the EU average of 22</w:t>
      </w:r>
      <w:r w:rsidR="00E80248" w:rsidRPr="004D5C41">
        <w:t>% in 2015</w:t>
      </w:r>
      <w:r w:rsidR="000B3B0B">
        <w:t>, according to the available estimates provided by ANED</w:t>
      </w:r>
      <w:r w:rsidR="000B3B0B" w:rsidRPr="000B3B0B">
        <w:t xml:space="preserve"> </w:t>
      </w:r>
      <w:r w:rsidR="000B3B0B">
        <w:t>from SILC</w:t>
      </w:r>
      <w:r w:rsidR="00E80248" w:rsidRPr="004D5C41">
        <w:t xml:space="preserve">). </w:t>
      </w:r>
      <w:r w:rsidR="00362B4C">
        <w:t>Furthermore, disability status (along with socioeconomic background and type of school) strongly influence learning outcomes</w:t>
      </w:r>
      <w:r w:rsidR="001C42C7">
        <w:t>.</w:t>
      </w:r>
      <w:r w:rsidR="00362B4C">
        <w:rPr>
          <w:rStyle w:val="FootnoteReference"/>
        </w:rPr>
        <w:footnoteReference w:id="27"/>
      </w:r>
      <w:r w:rsidR="001C42C7">
        <w:t xml:space="preserve"> </w:t>
      </w:r>
      <w:r w:rsidR="000B3B0B">
        <w:t>Collection and disaggregation of data about disability status in Malta’s Labour Force Survey and in pupil/student data systems would greatly assist in verifying or contextualising the headline indicators.</w:t>
      </w:r>
    </w:p>
    <w:p w14:paraId="57DFA03F" w14:textId="7FE5F7D5" w:rsidR="00362B4C" w:rsidRDefault="00D112C0" w:rsidP="00B86C92">
      <w:pPr>
        <w:jc w:val="both"/>
      </w:pPr>
      <w:r>
        <w:t xml:space="preserve"> </w:t>
      </w:r>
    </w:p>
    <w:p w14:paraId="2FA59DA8" w14:textId="58C236C0" w:rsidR="007813DC" w:rsidRDefault="0011794E" w:rsidP="0011794E">
      <w:pPr>
        <w:pStyle w:val="Body"/>
        <w:pBdr>
          <w:top w:val="none" w:sz="0" w:space="0" w:color="auto"/>
          <w:left w:val="none" w:sz="0" w:space="0" w:color="auto"/>
          <w:bottom w:val="none" w:sz="0" w:space="0" w:color="auto"/>
          <w:right w:val="none" w:sz="0" w:space="0" w:color="auto"/>
          <w:bar w:val="none" w:sz="0" w:color="auto"/>
        </w:pBdr>
        <w:spacing w:before="0" w:line="240" w:lineRule="auto"/>
        <w:jc w:val="both"/>
        <w:rPr>
          <w:rFonts w:hAnsi="Arial" w:cs="Arial"/>
          <w:color w:val="auto"/>
          <w:lang w:val="en-GB"/>
        </w:rPr>
      </w:pPr>
      <w:r>
        <w:rPr>
          <w:rFonts w:eastAsiaTheme="minorHAnsi" w:hAnsi="Arial" w:cs="Arial"/>
          <w:color w:val="auto"/>
          <w:lang w:val="en-GB"/>
        </w:rPr>
        <w:t>D</w:t>
      </w:r>
      <w:r w:rsidR="009340EB" w:rsidRPr="0050621E">
        <w:rPr>
          <w:rFonts w:hAnsi="Arial" w:cs="Arial"/>
          <w:color w:val="auto"/>
          <w:lang w:val="en-GB"/>
        </w:rPr>
        <w:t xml:space="preserve">isabled students who attend special schools </w:t>
      </w:r>
      <w:r>
        <w:rPr>
          <w:rFonts w:hAnsi="Arial" w:cs="Arial"/>
          <w:color w:val="auto"/>
          <w:lang w:val="en-GB"/>
        </w:rPr>
        <w:t>do</w:t>
      </w:r>
      <w:r w:rsidRPr="0050621E">
        <w:rPr>
          <w:rFonts w:hAnsi="Arial" w:cs="Arial"/>
          <w:color w:val="auto"/>
          <w:lang w:val="en-GB"/>
        </w:rPr>
        <w:t xml:space="preserve"> </w:t>
      </w:r>
      <w:r w:rsidR="009340EB" w:rsidRPr="0050621E">
        <w:rPr>
          <w:rFonts w:hAnsi="Arial" w:cs="Arial"/>
          <w:color w:val="auto"/>
          <w:lang w:val="en-GB"/>
        </w:rPr>
        <w:t xml:space="preserve">not feature among the early school leavers as they continue to attend school until the age of 23 (and sometimes even longer). However, the rate of disabled children who attend special schools in Malta is very minimal and </w:t>
      </w:r>
      <w:r>
        <w:rPr>
          <w:rFonts w:hAnsi="Arial" w:cs="Arial"/>
          <w:color w:val="auto"/>
          <w:lang w:val="en-GB"/>
        </w:rPr>
        <w:t>include mainly</w:t>
      </w:r>
      <w:r w:rsidR="009340EB" w:rsidRPr="0050621E">
        <w:rPr>
          <w:rFonts w:hAnsi="Arial" w:cs="Arial"/>
          <w:color w:val="auto"/>
          <w:lang w:val="en-GB"/>
        </w:rPr>
        <w:t xml:space="preserve"> disabled children </w:t>
      </w:r>
      <w:r>
        <w:rPr>
          <w:rFonts w:hAnsi="Arial" w:cs="Arial"/>
          <w:color w:val="auto"/>
          <w:lang w:val="en-GB"/>
        </w:rPr>
        <w:t>with</w:t>
      </w:r>
      <w:r w:rsidR="009340EB" w:rsidRPr="0050621E">
        <w:rPr>
          <w:rFonts w:hAnsi="Arial" w:cs="Arial"/>
          <w:color w:val="auto"/>
          <w:lang w:val="en-GB"/>
        </w:rPr>
        <w:t xml:space="preserve"> very severe to profound disabilities. According to the European Agency for Special Needs and Inclusive Education, it is estimated that in Malta only 0.12% out of the total pupil population attend special schools.</w:t>
      </w:r>
      <w:r w:rsidR="009340EB" w:rsidRPr="0050621E">
        <w:rPr>
          <w:rStyle w:val="FootnoteReference"/>
          <w:rFonts w:hAnsi="Arial" w:cs="Arial"/>
          <w:color w:val="auto"/>
          <w:lang w:val="en-GB"/>
        </w:rPr>
        <w:footnoteReference w:id="28"/>
      </w:r>
      <w:r w:rsidR="009340EB" w:rsidRPr="0050621E">
        <w:rPr>
          <w:rFonts w:hAnsi="Arial" w:cs="Arial"/>
          <w:color w:val="auto"/>
          <w:lang w:val="en-GB"/>
        </w:rPr>
        <w:t xml:space="preserve"> </w:t>
      </w:r>
    </w:p>
    <w:p w14:paraId="68DAC410" w14:textId="77777777" w:rsidR="0011794E" w:rsidRDefault="0011794E" w:rsidP="009340EB">
      <w:pPr>
        <w:pStyle w:val="Body"/>
        <w:pBdr>
          <w:top w:val="none" w:sz="0" w:space="0" w:color="auto"/>
          <w:left w:val="none" w:sz="0" w:space="0" w:color="auto"/>
          <w:bottom w:val="none" w:sz="0" w:space="0" w:color="auto"/>
          <w:right w:val="none" w:sz="0" w:space="0" w:color="auto"/>
          <w:bar w:val="none" w:sz="0" w:color="auto"/>
        </w:pBdr>
        <w:spacing w:before="0" w:line="240" w:lineRule="auto"/>
        <w:jc w:val="both"/>
        <w:rPr>
          <w:rFonts w:hAnsi="Arial" w:cs="Arial"/>
          <w:color w:val="auto"/>
          <w:lang w:val="en-GB"/>
        </w:rPr>
      </w:pPr>
    </w:p>
    <w:p w14:paraId="2AC5C8C4" w14:textId="306B5829" w:rsidR="009340EB" w:rsidRPr="0050621E" w:rsidRDefault="009340EB" w:rsidP="00A06B3C">
      <w:pPr>
        <w:pStyle w:val="Body"/>
        <w:pBdr>
          <w:top w:val="none" w:sz="0" w:space="0" w:color="auto"/>
          <w:left w:val="none" w:sz="0" w:space="0" w:color="auto"/>
          <w:bottom w:val="none" w:sz="0" w:space="0" w:color="auto"/>
          <w:right w:val="none" w:sz="0" w:space="0" w:color="auto"/>
          <w:bar w:val="none" w:sz="0" w:color="auto"/>
        </w:pBdr>
        <w:spacing w:before="0" w:line="240" w:lineRule="auto"/>
        <w:jc w:val="both"/>
        <w:rPr>
          <w:rFonts w:hAnsi="Arial" w:cs="Arial"/>
          <w:color w:val="auto"/>
          <w:lang w:val="en-GB"/>
        </w:rPr>
      </w:pPr>
      <w:r w:rsidRPr="0050621E">
        <w:rPr>
          <w:rFonts w:hAnsi="Arial" w:cs="Arial"/>
          <w:color w:val="auto"/>
          <w:lang w:val="en-GB"/>
        </w:rPr>
        <w:t xml:space="preserve">The high rate of early school leaving </w:t>
      </w:r>
      <w:r w:rsidR="00A06B3C">
        <w:rPr>
          <w:rFonts w:hAnsi="Arial" w:cs="Arial"/>
          <w:color w:val="auto"/>
          <w:lang w:val="en-GB"/>
        </w:rPr>
        <w:t>indicated for</w:t>
      </w:r>
      <w:r w:rsidR="00A06B3C" w:rsidRPr="0050621E">
        <w:rPr>
          <w:rFonts w:hAnsi="Arial" w:cs="Arial"/>
          <w:color w:val="auto"/>
          <w:lang w:val="en-GB"/>
        </w:rPr>
        <w:t xml:space="preserve"> </w:t>
      </w:r>
      <w:r w:rsidRPr="0050621E">
        <w:rPr>
          <w:rFonts w:hAnsi="Arial" w:cs="Arial"/>
          <w:color w:val="auto"/>
          <w:lang w:val="en-GB"/>
        </w:rPr>
        <w:t xml:space="preserve">disabled pupils </w:t>
      </w:r>
      <w:r w:rsidR="00A06B3C">
        <w:rPr>
          <w:rFonts w:hAnsi="Arial" w:cs="Arial"/>
          <w:color w:val="auto"/>
          <w:lang w:val="en-GB"/>
        </w:rPr>
        <w:t>suggests</w:t>
      </w:r>
      <w:r w:rsidR="00A06B3C" w:rsidRPr="0050621E">
        <w:rPr>
          <w:rFonts w:hAnsi="Arial" w:cs="Arial"/>
          <w:color w:val="auto"/>
          <w:lang w:val="en-GB"/>
        </w:rPr>
        <w:t xml:space="preserve"> </w:t>
      </w:r>
      <w:r w:rsidRPr="0050621E">
        <w:rPr>
          <w:rFonts w:hAnsi="Arial" w:cs="Arial"/>
          <w:color w:val="auto"/>
          <w:lang w:val="en-GB"/>
        </w:rPr>
        <w:t>that the success of the inclusive education policy</w:t>
      </w:r>
      <w:r w:rsidR="00A06B3C">
        <w:rPr>
          <w:rFonts w:hAnsi="Arial" w:cs="Arial"/>
          <w:color w:val="auto"/>
          <w:lang w:val="en-GB"/>
        </w:rPr>
        <w:t>,</w:t>
      </w:r>
      <w:r w:rsidRPr="0050621E">
        <w:rPr>
          <w:rFonts w:hAnsi="Arial" w:cs="Arial"/>
          <w:color w:val="auto"/>
          <w:lang w:val="en-GB"/>
        </w:rPr>
        <w:t xml:space="preserve"> which</w:t>
      </w:r>
      <w:r w:rsidR="00087EB5">
        <w:rPr>
          <w:rFonts w:hAnsi="Arial" w:cs="Arial"/>
          <w:color w:val="auto"/>
          <w:lang w:val="en-GB"/>
        </w:rPr>
        <w:t xml:space="preserve"> was introduced in Malta in 1995</w:t>
      </w:r>
      <w:r w:rsidRPr="0050621E">
        <w:rPr>
          <w:rFonts w:hAnsi="Arial" w:cs="Arial"/>
          <w:color w:val="auto"/>
          <w:lang w:val="en-GB"/>
        </w:rPr>
        <w:t xml:space="preserve"> </w:t>
      </w:r>
      <w:r w:rsidR="00A06B3C">
        <w:rPr>
          <w:rFonts w:hAnsi="Arial" w:cs="Arial"/>
          <w:color w:val="auto"/>
          <w:lang w:val="en-GB"/>
        </w:rPr>
        <w:t>to</w:t>
      </w:r>
      <w:r w:rsidR="00A06B3C" w:rsidRPr="0050621E">
        <w:rPr>
          <w:rFonts w:hAnsi="Arial" w:cs="Arial"/>
          <w:color w:val="auto"/>
          <w:lang w:val="en-GB"/>
        </w:rPr>
        <w:t xml:space="preserve"> </w:t>
      </w:r>
      <w:r w:rsidRPr="0050621E">
        <w:rPr>
          <w:rFonts w:hAnsi="Arial" w:cs="Arial"/>
          <w:color w:val="auto"/>
          <w:lang w:val="en-GB"/>
        </w:rPr>
        <w:t>includ</w:t>
      </w:r>
      <w:r w:rsidR="00A06B3C">
        <w:rPr>
          <w:rFonts w:hAnsi="Arial" w:cs="Arial"/>
          <w:color w:val="auto"/>
          <w:lang w:val="en-GB"/>
        </w:rPr>
        <w:t>e</w:t>
      </w:r>
      <w:r w:rsidRPr="0050621E">
        <w:rPr>
          <w:rFonts w:hAnsi="Arial" w:cs="Arial"/>
          <w:color w:val="auto"/>
          <w:lang w:val="en-GB"/>
        </w:rPr>
        <w:t xml:space="preserve"> the </w:t>
      </w:r>
      <w:proofErr w:type="gramStart"/>
      <w:r w:rsidRPr="0050621E">
        <w:rPr>
          <w:rFonts w:hAnsi="Arial" w:cs="Arial"/>
          <w:color w:val="auto"/>
          <w:lang w:val="en-GB"/>
        </w:rPr>
        <w:t>vast majority</w:t>
      </w:r>
      <w:proofErr w:type="gramEnd"/>
      <w:r w:rsidRPr="0050621E">
        <w:rPr>
          <w:rFonts w:hAnsi="Arial" w:cs="Arial"/>
          <w:color w:val="auto"/>
          <w:lang w:val="en-GB"/>
        </w:rPr>
        <w:t xml:space="preserve"> of disabled children in mainstream primary and secondary schools</w:t>
      </w:r>
      <w:r w:rsidR="00087EB5">
        <w:rPr>
          <w:rFonts w:hAnsi="Arial" w:cs="Arial"/>
          <w:color w:val="auto"/>
          <w:lang w:val="en-GB"/>
        </w:rPr>
        <w:t>,</w:t>
      </w:r>
      <w:r w:rsidRPr="0050621E">
        <w:rPr>
          <w:rFonts w:hAnsi="Arial" w:cs="Arial"/>
          <w:color w:val="auto"/>
          <w:lang w:val="en-GB"/>
        </w:rPr>
        <w:t xml:space="preserve"> has not yet been translated into increased </w:t>
      </w:r>
      <w:r w:rsidR="00A06B3C">
        <w:rPr>
          <w:rFonts w:hAnsi="Arial" w:cs="Arial"/>
          <w:color w:val="auto"/>
          <w:lang w:val="en-GB"/>
        </w:rPr>
        <w:t>progression to</w:t>
      </w:r>
      <w:r w:rsidRPr="0050621E">
        <w:rPr>
          <w:rFonts w:hAnsi="Arial" w:cs="Arial"/>
          <w:color w:val="auto"/>
          <w:lang w:val="en-GB"/>
        </w:rPr>
        <w:t xml:space="preserve"> the higher levels of education.</w:t>
      </w:r>
      <w:r w:rsidR="00087EB5">
        <w:rPr>
          <w:rFonts w:hAnsi="Arial" w:cs="Arial"/>
          <w:color w:val="auto"/>
          <w:lang w:val="en-GB"/>
        </w:rPr>
        <w:t xml:space="preserve"> This is also despite the 2005 Inclusive and Special Education Review and the reform of the special education system based on the review, which aimed at </w:t>
      </w:r>
      <w:r w:rsidR="00087EB5">
        <w:rPr>
          <w:rFonts w:hAnsi="Arial" w:cs="Arial"/>
          <w:color w:val="auto"/>
          <w:lang w:val="en-GB"/>
        </w:rPr>
        <w:lastRenderedPageBreak/>
        <w:t>enabling disabled students who attend special schools to experience different phases of school life in mainstream education</w:t>
      </w:r>
      <w:r w:rsidR="001C42C7">
        <w:rPr>
          <w:rFonts w:hAnsi="Arial" w:cs="Arial"/>
          <w:color w:val="auto"/>
          <w:lang w:val="en-GB"/>
        </w:rPr>
        <w:t>.</w:t>
      </w:r>
      <w:r w:rsidR="00087EB5">
        <w:rPr>
          <w:rStyle w:val="FootnoteReference"/>
          <w:rFonts w:hAnsi="Arial" w:cs="Arial"/>
          <w:color w:val="auto"/>
          <w:lang w:val="en-GB"/>
        </w:rPr>
        <w:footnoteReference w:id="29"/>
      </w:r>
    </w:p>
    <w:p w14:paraId="4D4B529C" w14:textId="77777777" w:rsidR="00D112C0" w:rsidRPr="004D5C41" w:rsidRDefault="00D112C0" w:rsidP="00B86C92">
      <w:pPr>
        <w:jc w:val="both"/>
      </w:pPr>
    </w:p>
    <w:p w14:paraId="7F0EB35E" w14:textId="237E12E9" w:rsidR="0050621E" w:rsidRPr="00C7689A" w:rsidRDefault="0050621E" w:rsidP="00A915A6">
      <w:pPr>
        <w:pStyle w:val="Body"/>
        <w:pBdr>
          <w:top w:val="none" w:sz="0" w:space="0" w:color="auto"/>
          <w:left w:val="none" w:sz="0" w:space="0" w:color="auto"/>
          <w:bottom w:val="none" w:sz="0" w:space="0" w:color="auto"/>
          <w:right w:val="none" w:sz="0" w:space="0" w:color="auto"/>
          <w:bar w:val="none" w:sz="0" w:color="auto"/>
        </w:pBdr>
        <w:spacing w:before="0" w:line="240" w:lineRule="auto"/>
        <w:jc w:val="both"/>
        <w:rPr>
          <w:rFonts w:hAnsi="Arial" w:cs="Arial"/>
          <w:color w:val="auto"/>
          <w:lang w:val="en-GB"/>
        </w:rPr>
      </w:pPr>
      <w:r w:rsidRPr="00C7689A">
        <w:rPr>
          <w:rFonts w:hAnsi="Arial" w:cs="Arial"/>
          <w:color w:val="auto"/>
          <w:lang w:val="en-GB"/>
        </w:rPr>
        <w:t xml:space="preserve">On the other hand, there are encouraging indications that the number of </w:t>
      </w:r>
      <w:r w:rsidR="00A915A6">
        <w:rPr>
          <w:rFonts w:hAnsi="Arial" w:cs="Arial"/>
          <w:color w:val="auto"/>
          <w:lang w:val="en-GB"/>
        </w:rPr>
        <w:t xml:space="preserve">registered </w:t>
      </w:r>
      <w:r w:rsidRPr="00C7689A">
        <w:rPr>
          <w:rFonts w:hAnsi="Arial" w:cs="Arial"/>
          <w:color w:val="auto"/>
          <w:lang w:val="en-GB"/>
        </w:rPr>
        <w:t>disabled students at the University of Malta (the only university in the country) is steadily increasing</w:t>
      </w:r>
      <w:r w:rsidR="00A915A6">
        <w:rPr>
          <w:rFonts w:hAnsi="Arial" w:cs="Arial"/>
          <w:color w:val="auto"/>
          <w:lang w:val="en-GB"/>
        </w:rPr>
        <w:t xml:space="preserve">, by at least 500 students in the past five years (see </w:t>
      </w:r>
      <w:r w:rsidR="00A915A6">
        <w:rPr>
          <w:rFonts w:hAnsi="Arial" w:cs="Arial"/>
          <w:color w:val="auto"/>
          <w:lang w:val="en-GB"/>
        </w:rPr>
        <w:fldChar w:fldCharType="begin"/>
      </w:r>
      <w:r w:rsidR="00A915A6">
        <w:rPr>
          <w:rFonts w:hAnsi="Arial" w:cs="Arial"/>
          <w:color w:val="auto"/>
          <w:lang w:val="en-GB"/>
        </w:rPr>
        <w:instrText xml:space="preserve"> REF _Ref520900352 \h </w:instrText>
      </w:r>
      <w:r w:rsidR="00A915A6">
        <w:rPr>
          <w:rFonts w:hAnsi="Arial" w:cs="Arial"/>
          <w:color w:val="auto"/>
          <w:lang w:val="en-GB"/>
        </w:rPr>
      </w:r>
      <w:r w:rsidR="00A915A6">
        <w:rPr>
          <w:rFonts w:hAnsi="Arial" w:cs="Arial"/>
          <w:color w:val="auto"/>
          <w:lang w:val="en-GB"/>
        </w:rPr>
        <w:fldChar w:fldCharType="separate"/>
      </w:r>
      <w:r w:rsidR="00FE3D2A">
        <w:t xml:space="preserve">Table </w:t>
      </w:r>
      <w:r w:rsidR="00FE3D2A">
        <w:rPr>
          <w:noProof/>
        </w:rPr>
        <w:t>17</w:t>
      </w:r>
      <w:r w:rsidR="00A915A6">
        <w:rPr>
          <w:rFonts w:hAnsi="Arial" w:cs="Arial"/>
          <w:color w:val="auto"/>
          <w:lang w:val="en-GB"/>
        </w:rPr>
        <w:fldChar w:fldCharType="end"/>
      </w:r>
      <w:r w:rsidR="00A915A6">
        <w:rPr>
          <w:rFonts w:hAnsi="Arial" w:cs="Arial"/>
          <w:color w:val="auto"/>
          <w:lang w:val="en-GB"/>
        </w:rPr>
        <w:t xml:space="preserve"> in annex)</w:t>
      </w:r>
      <w:r w:rsidRPr="00C7689A">
        <w:rPr>
          <w:rFonts w:hAnsi="Arial" w:cs="Arial"/>
          <w:color w:val="auto"/>
          <w:lang w:val="en-GB"/>
        </w:rPr>
        <w:t xml:space="preserve">. This may be </w:t>
      </w:r>
      <w:proofErr w:type="gramStart"/>
      <w:r w:rsidRPr="00C7689A">
        <w:rPr>
          <w:rFonts w:hAnsi="Arial" w:cs="Arial"/>
          <w:color w:val="auto"/>
          <w:lang w:val="en-GB"/>
        </w:rPr>
        <w:t>due to the fact that</w:t>
      </w:r>
      <w:proofErr w:type="gramEnd"/>
      <w:r w:rsidRPr="00C7689A">
        <w:rPr>
          <w:rFonts w:hAnsi="Arial" w:cs="Arial"/>
          <w:color w:val="auto"/>
          <w:lang w:val="en-GB"/>
        </w:rPr>
        <w:t xml:space="preserve"> an increasing (but still small) number of disabled students are reaping the benefits of </w:t>
      </w:r>
      <w:r w:rsidR="00A915A6">
        <w:rPr>
          <w:rFonts w:hAnsi="Arial" w:cs="Arial"/>
          <w:color w:val="auto"/>
          <w:lang w:val="en-GB"/>
        </w:rPr>
        <w:t>more</w:t>
      </w:r>
      <w:r w:rsidRPr="00C7689A">
        <w:rPr>
          <w:rFonts w:hAnsi="Arial" w:cs="Arial"/>
          <w:color w:val="auto"/>
          <w:lang w:val="en-GB"/>
        </w:rPr>
        <w:t xml:space="preserve"> inclusive </w:t>
      </w:r>
      <w:r w:rsidR="00A915A6">
        <w:rPr>
          <w:rFonts w:hAnsi="Arial" w:cs="Arial"/>
          <w:color w:val="auto"/>
          <w:lang w:val="en-GB"/>
        </w:rPr>
        <w:t>schooling</w:t>
      </w:r>
      <w:r w:rsidRPr="00C7689A">
        <w:rPr>
          <w:rFonts w:hAnsi="Arial" w:cs="Arial"/>
          <w:color w:val="auto"/>
          <w:lang w:val="en-GB"/>
        </w:rPr>
        <w:t xml:space="preserve">. </w:t>
      </w:r>
      <w:r w:rsidR="007813DC">
        <w:rPr>
          <w:rFonts w:hAnsi="Arial" w:cs="Arial"/>
          <w:color w:val="auto"/>
          <w:lang w:val="en-GB"/>
        </w:rPr>
        <w:t xml:space="preserve">Another reason could be attributed to the fact that </w:t>
      </w:r>
      <w:r w:rsidR="007813DC" w:rsidRPr="007813DC">
        <w:rPr>
          <w:lang w:val="en-GB"/>
        </w:rPr>
        <w:t xml:space="preserve">since </w:t>
      </w:r>
      <w:r w:rsidR="00A915A6">
        <w:rPr>
          <w:lang w:val="en-GB"/>
        </w:rPr>
        <w:t xml:space="preserve">the </w:t>
      </w:r>
      <w:r w:rsidR="007813DC" w:rsidRPr="007813DC">
        <w:rPr>
          <w:lang w:val="en-GB"/>
        </w:rPr>
        <w:t>University is providing more support</w:t>
      </w:r>
      <w:r w:rsidR="00293518">
        <w:rPr>
          <w:lang w:val="en-GB"/>
        </w:rPr>
        <w:t xml:space="preserve"> (namely through the Disability Support Unit)</w:t>
      </w:r>
      <w:r w:rsidR="007813DC" w:rsidRPr="007813DC">
        <w:rPr>
          <w:lang w:val="en-GB"/>
        </w:rPr>
        <w:t>,</w:t>
      </w:r>
      <w:r w:rsidR="00A915A6">
        <w:rPr>
          <w:rStyle w:val="FootnoteReference"/>
          <w:lang w:val="en-GB"/>
        </w:rPr>
        <w:footnoteReference w:id="30"/>
      </w:r>
      <w:r w:rsidR="007813DC" w:rsidRPr="007813DC">
        <w:rPr>
          <w:lang w:val="en-GB"/>
        </w:rPr>
        <w:t xml:space="preserve"> more students with disability are coming out and ask</w:t>
      </w:r>
      <w:r w:rsidR="00293518">
        <w:rPr>
          <w:lang w:val="en-GB"/>
        </w:rPr>
        <w:t>ing</w:t>
      </w:r>
      <w:r w:rsidR="007813DC" w:rsidRPr="007813DC">
        <w:rPr>
          <w:lang w:val="en-GB"/>
        </w:rPr>
        <w:t xml:space="preserve"> for such services</w:t>
      </w:r>
      <w:r w:rsidR="00293518">
        <w:rPr>
          <w:lang w:val="en-GB"/>
        </w:rPr>
        <w:t>, as well as encouraging more students to enrol</w:t>
      </w:r>
      <w:r w:rsidR="007813DC" w:rsidRPr="007813DC">
        <w:rPr>
          <w:lang w:val="en-GB"/>
        </w:rPr>
        <w:t>.</w:t>
      </w:r>
      <w:r w:rsidR="007813DC" w:rsidRPr="00293518">
        <w:rPr>
          <w:lang w:val="en-GB"/>
        </w:rPr>
        <w:t xml:space="preserve"> </w:t>
      </w:r>
      <w:r w:rsidRPr="00C7689A">
        <w:rPr>
          <w:rFonts w:hAnsi="Arial" w:cs="Arial"/>
          <w:color w:val="auto"/>
          <w:lang w:val="en-GB"/>
        </w:rPr>
        <w:t xml:space="preserve">Other encouraging indications show a </w:t>
      </w:r>
      <w:r w:rsidR="00DF5DB2">
        <w:rPr>
          <w:rFonts w:hAnsi="Arial" w:cs="Arial"/>
          <w:color w:val="auto"/>
          <w:lang w:val="en-GB"/>
        </w:rPr>
        <w:t xml:space="preserve">general </w:t>
      </w:r>
      <w:r w:rsidRPr="00C7689A">
        <w:rPr>
          <w:rFonts w:hAnsi="Arial" w:cs="Arial"/>
          <w:color w:val="auto"/>
          <w:lang w:val="en-GB"/>
        </w:rPr>
        <w:t>increase</w:t>
      </w:r>
      <w:r w:rsidR="00DF5DB2">
        <w:rPr>
          <w:rFonts w:hAnsi="Arial" w:cs="Arial"/>
          <w:color w:val="auto"/>
          <w:lang w:val="en-GB"/>
        </w:rPr>
        <w:t>, over the years,</w:t>
      </w:r>
      <w:r w:rsidRPr="00C7689A">
        <w:rPr>
          <w:rFonts w:hAnsi="Arial" w:cs="Arial"/>
          <w:color w:val="auto"/>
          <w:lang w:val="en-GB"/>
        </w:rPr>
        <w:t xml:space="preserve"> in the number of disabled students attending the Malta College of Arts, Science and Technology (MCAST) which offers foundation, technical</w:t>
      </w:r>
      <w:r w:rsidR="00DB62BD">
        <w:rPr>
          <w:rFonts w:hAnsi="Arial" w:cs="Arial"/>
          <w:color w:val="auto"/>
          <w:lang w:val="en-GB"/>
        </w:rPr>
        <w:t>,</w:t>
      </w:r>
      <w:r w:rsidRPr="00C7689A">
        <w:rPr>
          <w:rFonts w:hAnsi="Arial" w:cs="Arial"/>
          <w:color w:val="auto"/>
          <w:lang w:val="en-GB"/>
        </w:rPr>
        <w:t xml:space="preserve"> lifelong learning and degree courses</w:t>
      </w:r>
      <w:r w:rsidR="00D071A0">
        <w:rPr>
          <w:rFonts w:hAnsi="Arial" w:cs="Arial"/>
          <w:color w:val="auto"/>
          <w:lang w:val="en-GB"/>
        </w:rPr>
        <w:t xml:space="preserve"> (see </w:t>
      </w:r>
      <w:r w:rsidR="00D071A0">
        <w:rPr>
          <w:rFonts w:hAnsi="Arial" w:cs="Arial"/>
          <w:color w:val="auto"/>
          <w:lang w:val="en-GB"/>
        </w:rPr>
        <w:fldChar w:fldCharType="begin"/>
      </w:r>
      <w:r w:rsidR="00D071A0">
        <w:rPr>
          <w:rFonts w:hAnsi="Arial" w:cs="Arial"/>
          <w:color w:val="auto"/>
          <w:lang w:val="en-GB"/>
        </w:rPr>
        <w:instrText xml:space="preserve"> REF _Ref520900370 \h </w:instrText>
      </w:r>
      <w:r w:rsidR="00D071A0">
        <w:rPr>
          <w:rFonts w:hAnsi="Arial" w:cs="Arial"/>
          <w:color w:val="auto"/>
          <w:lang w:val="en-GB"/>
        </w:rPr>
      </w:r>
      <w:r w:rsidR="00D071A0">
        <w:rPr>
          <w:rFonts w:hAnsi="Arial" w:cs="Arial"/>
          <w:color w:val="auto"/>
          <w:lang w:val="en-GB"/>
        </w:rPr>
        <w:fldChar w:fldCharType="separate"/>
      </w:r>
      <w:r w:rsidR="00FE3D2A">
        <w:t xml:space="preserve">Table </w:t>
      </w:r>
      <w:r w:rsidR="00FE3D2A">
        <w:rPr>
          <w:noProof/>
        </w:rPr>
        <w:t>18</w:t>
      </w:r>
      <w:r w:rsidR="00D071A0">
        <w:rPr>
          <w:rFonts w:hAnsi="Arial" w:cs="Arial"/>
          <w:color w:val="auto"/>
          <w:lang w:val="en-GB"/>
        </w:rPr>
        <w:fldChar w:fldCharType="end"/>
      </w:r>
      <w:r w:rsidR="00D071A0">
        <w:rPr>
          <w:rFonts w:hAnsi="Arial" w:cs="Arial"/>
          <w:color w:val="auto"/>
          <w:lang w:val="en-GB"/>
        </w:rPr>
        <w:t xml:space="preserve"> in annex)</w:t>
      </w:r>
      <w:r w:rsidRPr="00C7689A">
        <w:rPr>
          <w:rFonts w:hAnsi="Arial" w:cs="Arial"/>
          <w:color w:val="auto"/>
          <w:lang w:val="en-GB"/>
        </w:rPr>
        <w:t xml:space="preserve">. </w:t>
      </w:r>
    </w:p>
    <w:p w14:paraId="720409CB" w14:textId="77777777" w:rsidR="0050621E" w:rsidRPr="00013744" w:rsidRDefault="0050621E" w:rsidP="0050621E">
      <w:pPr>
        <w:pStyle w:val="Body"/>
        <w:pBdr>
          <w:top w:val="none" w:sz="0" w:space="0" w:color="auto"/>
          <w:left w:val="none" w:sz="0" w:space="0" w:color="auto"/>
          <w:bottom w:val="none" w:sz="0" w:space="0" w:color="auto"/>
          <w:right w:val="none" w:sz="0" w:space="0" w:color="auto"/>
          <w:bar w:val="none" w:sz="0" w:color="auto"/>
        </w:pBdr>
        <w:spacing w:before="0" w:line="240" w:lineRule="auto"/>
        <w:jc w:val="both"/>
        <w:rPr>
          <w:rFonts w:hAnsi="Arial" w:cs="Arial"/>
          <w:color w:val="FF0000"/>
          <w:lang w:val="en-GB"/>
        </w:rPr>
      </w:pPr>
    </w:p>
    <w:p w14:paraId="36AB5302" w14:textId="2121D910" w:rsidR="00DB62BD" w:rsidRDefault="00DB62BD" w:rsidP="00A14357">
      <w:pPr>
        <w:jc w:val="both"/>
      </w:pPr>
      <w:r>
        <w:t xml:space="preserve">The alignment of educational sectors and policies in Malta was launched in </w:t>
      </w:r>
      <w:r w:rsidRPr="00DB62BD">
        <w:t>the Education Strategy for Malta 2014-2024</w:t>
      </w:r>
      <w:r>
        <w:t xml:space="preserve">. This includes </w:t>
      </w:r>
      <w:r w:rsidR="00E80248" w:rsidRPr="004D5C41">
        <w:t xml:space="preserve">implementing a range of measures </w:t>
      </w:r>
      <w:r>
        <w:t>outlined in the</w:t>
      </w:r>
      <w:r w:rsidR="004D5C41" w:rsidRPr="008F3F4E">
        <w:t xml:space="preserve"> </w:t>
      </w:r>
      <w:r w:rsidR="004D5C41" w:rsidRPr="00DB62BD">
        <w:rPr>
          <w:b/>
          <w:bCs/>
        </w:rPr>
        <w:t>Strategic Plan for the Prevention of Early School Leaving</w:t>
      </w:r>
      <w:r w:rsidR="004D5C41" w:rsidRPr="008F3F4E">
        <w:rPr>
          <w:rStyle w:val="FootnoteReference"/>
        </w:rPr>
        <w:footnoteReference w:id="31"/>
      </w:r>
      <w:r w:rsidR="004D5C41" w:rsidRPr="008F3F4E">
        <w:t xml:space="preserve"> pu</w:t>
      </w:r>
      <w:r w:rsidR="008F3F4E" w:rsidRPr="008F3F4E">
        <w:t>blished in 2014</w:t>
      </w:r>
      <w:r>
        <w:t xml:space="preserve"> (as well as the Lifelong Learning Strategy)</w:t>
      </w:r>
      <w:r w:rsidR="008F3F4E" w:rsidRPr="008F3F4E">
        <w:t xml:space="preserve">. </w:t>
      </w:r>
      <w:r w:rsidR="00013744" w:rsidRPr="008F3F4E">
        <w:t xml:space="preserve">The document </w:t>
      </w:r>
      <w:r>
        <w:t xml:space="preserve">wholly supported educational reform for mainstreaming at all levels but acknowledged the need </w:t>
      </w:r>
      <w:r w:rsidR="00013744" w:rsidRPr="008F3F4E">
        <w:t xml:space="preserve">to </w:t>
      </w:r>
      <w:r>
        <w:t xml:space="preserve">also </w:t>
      </w:r>
      <w:r w:rsidR="00013744" w:rsidRPr="008F3F4E">
        <w:t>provid</w:t>
      </w:r>
      <w:r>
        <w:t>e</w:t>
      </w:r>
      <w:r w:rsidR="00013744" w:rsidRPr="008F3F4E">
        <w:t xml:space="preserve"> quality </w:t>
      </w:r>
      <w:r w:rsidR="00750C36">
        <w:t>‘</w:t>
      </w:r>
      <w:r w:rsidR="00013744" w:rsidRPr="008F3F4E">
        <w:t>second chance</w:t>
      </w:r>
      <w:r w:rsidR="00750C36">
        <w:t>’</w:t>
      </w:r>
      <w:r w:rsidR="00013744" w:rsidRPr="008F3F4E">
        <w:t xml:space="preserve"> education for persons with disability </w:t>
      </w:r>
      <w:r w:rsidR="00750C36">
        <w:t>having left school without qualifications or employment</w:t>
      </w:r>
      <w:r w:rsidR="00013744" w:rsidRPr="008F3F4E">
        <w:t>. In fact</w:t>
      </w:r>
      <w:r w:rsidR="001C42C7">
        <w:t>,</w:t>
      </w:r>
      <w:r w:rsidR="00013744" w:rsidRPr="008F3F4E">
        <w:t xml:space="preserve"> Strategic Action 5.2 states: </w:t>
      </w:r>
    </w:p>
    <w:p w14:paraId="6BEE3A2A" w14:textId="77777777" w:rsidR="00A14357" w:rsidRDefault="00A14357" w:rsidP="00A14357">
      <w:pPr>
        <w:jc w:val="both"/>
      </w:pPr>
    </w:p>
    <w:p w14:paraId="52A6B2DC" w14:textId="2D3A4C74" w:rsidR="00DB62BD" w:rsidRDefault="00013744" w:rsidP="00A14357">
      <w:pPr>
        <w:ind w:left="567"/>
        <w:jc w:val="both"/>
      </w:pPr>
      <w:r w:rsidRPr="008F3F4E">
        <w:t xml:space="preserve">“This strategic plan recommends that the proposed ESLU and its supporting networks (the IMC and the ESLWG) facilitate concerted efforts to identify young persons with a disability who are neither in education and training nor in employment. This effort will aim at addressing their educational and training needs </w:t>
      </w:r>
      <w:proofErr w:type="gramStart"/>
      <w:r w:rsidRPr="008F3F4E">
        <w:t>in order to</w:t>
      </w:r>
      <w:proofErr w:type="gramEnd"/>
      <w:r w:rsidRPr="008F3F4E">
        <w:t xml:space="preserve"> facilitate their integration in the labour market. Facilitating the passage from compulsory school to second chance education and into employment will ensure that more students with a disability get their entitlement to an education that leads to better life chances and independent living.”</w:t>
      </w:r>
      <w:r w:rsidR="008F3F4E" w:rsidRPr="008F3F4E">
        <w:t xml:space="preserve"> </w:t>
      </w:r>
    </w:p>
    <w:p w14:paraId="3093C6E6" w14:textId="77777777" w:rsidR="00A14357" w:rsidRDefault="00A14357" w:rsidP="00A14357">
      <w:pPr>
        <w:ind w:left="720"/>
        <w:jc w:val="both"/>
      </w:pPr>
    </w:p>
    <w:p w14:paraId="39F64276" w14:textId="10AAAD28" w:rsidR="00B66DFA" w:rsidRDefault="00750C36" w:rsidP="00A14357">
      <w:pPr>
        <w:jc w:val="both"/>
      </w:pPr>
      <w:r>
        <w:t>S</w:t>
      </w:r>
      <w:r w:rsidRPr="00750C36">
        <w:t>econd chance programmes for young persons with disability</w:t>
      </w:r>
      <w:r>
        <w:t xml:space="preserve"> are offered, under the auspices of the </w:t>
      </w:r>
      <w:r w:rsidRPr="00750C36">
        <w:t>Ministry for Education</w:t>
      </w:r>
      <w:r w:rsidR="00B66DFA">
        <w:t xml:space="preserve"> and Employment (MEDE)</w:t>
      </w:r>
      <w:r>
        <w:t xml:space="preserve">, </w:t>
      </w:r>
      <w:r w:rsidR="00291F88">
        <w:t>but to</w:t>
      </w:r>
      <w:r w:rsidR="008F3F4E" w:rsidRPr="008F3F4E">
        <w:t xml:space="preserve"> date there is no specific national data with regards to this strategic action. </w:t>
      </w:r>
      <w:r w:rsidR="00215C5B">
        <w:t>According to the Youth Guarantee Implementation Plan</w:t>
      </w:r>
      <w:r w:rsidR="001C42C7">
        <w:t>,</w:t>
      </w:r>
      <w:r w:rsidR="00215C5B">
        <w:rPr>
          <w:rStyle w:val="FootnoteReference"/>
        </w:rPr>
        <w:footnoteReference w:id="32"/>
      </w:r>
      <w:r w:rsidR="00FB414F">
        <w:t xml:space="preserve"> second-chance educational programmes provide early school leavers and low-skilled youths with the opportunity to either continue or </w:t>
      </w:r>
      <w:r w:rsidR="00FB414F">
        <w:lastRenderedPageBreak/>
        <w:t xml:space="preserve">re-enter education. </w:t>
      </w:r>
      <w:r w:rsidR="004210E4">
        <w:t>The EACEA National Policies Platform</w:t>
      </w:r>
      <w:r w:rsidR="004210E4">
        <w:rPr>
          <w:rStyle w:val="FootnoteReference"/>
        </w:rPr>
        <w:footnoteReference w:id="33"/>
      </w:r>
      <w:r w:rsidR="004210E4">
        <w:t xml:space="preserve"> reports that a minimum of 3 entities which belong to the MEDE offer second chance programmes to youth with disabilities. </w:t>
      </w:r>
      <w:r w:rsidR="00FB414F">
        <w:t xml:space="preserve">Aġenzija </w:t>
      </w:r>
      <w:r w:rsidR="00FB414F" w:rsidRPr="00FB414F">
        <w:t>Ż</w:t>
      </w:r>
      <w:r w:rsidR="00FB414F">
        <w:t>għażagħ</w:t>
      </w:r>
      <w:r w:rsidR="00976BB5">
        <w:rPr>
          <w:rStyle w:val="FootnoteReference"/>
        </w:rPr>
        <w:footnoteReference w:id="34"/>
      </w:r>
      <w:r w:rsidR="00B66DFA">
        <w:t xml:space="preserve"> (the national Youth Agency), which is a strategic partner of the MEDE, offers </w:t>
      </w:r>
      <w:proofErr w:type="spellStart"/>
      <w:r w:rsidR="00B66DFA">
        <w:t>Youth.Inc</w:t>
      </w:r>
      <w:proofErr w:type="spellEnd"/>
      <w:r w:rsidR="00B66DFA">
        <w:t>, a</w:t>
      </w:r>
      <w:r w:rsidR="004210E4">
        <w:t>n inclusive</w:t>
      </w:r>
      <w:r w:rsidR="00B66DFA">
        <w:t xml:space="preserve"> second-chance education programme</w:t>
      </w:r>
      <w:r w:rsidR="001C42C7">
        <w:t>,</w:t>
      </w:r>
      <w:r w:rsidR="004210E4">
        <w:rPr>
          <w:rStyle w:val="FootnoteReference"/>
        </w:rPr>
        <w:footnoteReference w:id="35"/>
      </w:r>
      <w:r w:rsidR="004210E4">
        <w:t xml:space="preserve"> offering training to young adults aged 16-21, and facilitating their transition to employment for youth</w:t>
      </w:r>
      <w:r w:rsidR="00B66DFA">
        <w:t>. The Foundation for Social Welfare Services</w:t>
      </w:r>
      <w:r w:rsidR="00976BB5">
        <w:rPr>
          <w:rStyle w:val="FootnoteReference"/>
        </w:rPr>
        <w:footnoteReference w:id="36"/>
      </w:r>
      <w:r w:rsidR="00B66DFA">
        <w:t xml:space="preserve"> of the Ministry for the Family, Children’s Rights and Social Solidarity also offers a second chance programme which targets vulnerable youths.</w:t>
      </w:r>
      <w:r w:rsidR="004210E4">
        <w:rPr>
          <w:rStyle w:val="FootnoteReference"/>
        </w:rPr>
        <w:footnoteReference w:id="37"/>
      </w:r>
      <w:r w:rsidR="00B66DFA">
        <w:t xml:space="preserve"> </w:t>
      </w:r>
      <w:r w:rsidR="00976BB5">
        <w:t xml:space="preserve">It is also noteworthy that the MCAST implements the </w:t>
      </w:r>
      <w:r w:rsidR="00623C88">
        <w:t xml:space="preserve">Pathway </w:t>
      </w:r>
      <w:r w:rsidR="00486997">
        <w:t>to Independent Living Programme for students with intellectual disabilities. The programme aims at helping these students obtain the skills needed to work and maintain a job.</w:t>
      </w:r>
      <w:r w:rsidR="00486997">
        <w:rPr>
          <w:rStyle w:val="FootnoteReference"/>
        </w:rPr>
        <w:footnoteReference w:id="38"/>
      </w:r>
    </w:p>
    <w:p w14:paraId="74793C1C" w14:textId="77777777" w:rsidR="00976BB5" w:rsidRDefault="00976BB5" w:rsidP="00291F88">
      <w:pPr>
        <w:jc w:val="both"/>
      </w:pPr>
    </w:p>
    <w:p w14:paraId="17EADCF3" w14:textId="15C13CCD" w:rsidR="008F3F4E" w:rsidRDefault="00DB62BD" w:rsidP="00291F88">
      <w:pPr>
        <w:jc w:val="both"/>
      </w:pPr>
      <w:r>
        <w:t xml:space="preserve">The implementation and evaluation of such strategies would be assisted by target setting and appropriate disability data collection on educational transitions and outcomes. </w:t>
      </w:r>
      <w:r w:rsidR="00FB600C">
        <w:t xml:space="preserve">In the 2015 Youths NEET Census study, 12% (34) respondents agreed with the statement that </w:t>
      </w:r>
      <w:r w:rsidR="00291F88">
        <w:t xml:space="preserve">among the barriers they faced to work and education </w:t>
      </w:r>
      <w:r w:rsidR="00FB600C">
        <w:t>‘</w:t>
      </w:r>
      <w:r w:rsidR="00FB600C" w:rsidRPr="00FB600C">
        <w:t>I have a learning difficulty or disability</w:t>
      </w:r>
      <w:r w:rsidR="00FB600C">
        <w:t>’</w:t>
      </w:r>
      <w:r w:rsidR="00291F88">
        <w:t>, and 6% (17) that ‘</w:t>
      </w:r>
      <w:r w:rsidR="00291F88" w:rsidRPr="00291F88">
        <w:t>I have a mental health condition</w:t>
      </w:r>
      <w:r w:rsidR="00291F88">
        <w:t>’.</w:t>
      </w:r>
      <w:r w:rsidR="00291F88">
        <w:rPr>
          <w:rStyle w:val="FootnoteReference"/>
        </w:rPr>
        <w:footnoteReference w:id="39"/>
      </w:r>
    </w:p>
    <w:p w14:paraId="156ED70C" w14:textId="77777777" w:rsidR="00A46C08" w:rsidRPr="008F3F4E" w:rsidRDefault="00A46C08" w:rsidP="008F3F4E">
      <w:pPr>
        <w:jc w:val="both"/>
      </w:pPr>
    </w:p>
    <w:p w14:paraId="32C13A9A" w14:textId="7EC18190" w:rsidR="00013744" w:rsidRPr="008F3F4E" w:rsidRDefault="00F1435D" w:rsidP="00F1435D">
      <w:pPr>
        <w:pStyle w:val="Body"/>
        <w:pBdr>
          <w:top w:val="none" w:sz="0" w:space="0" w:color="auto"/>
          <w:left w:val="none" w:sz="0" w:space="0" w:color="auto"/>
          <w:bottom w:val="none" w:sz="0" w:space="0" w:color="auto"/>
          <w:right w:val="none" w:sz="0" w:space="0" w:color="auto"/>
          <w:bar w:val="none" w:sz="0" w:color="auto"/>
        </w:pBdr>
        <w:spacing w:before="0" w:line="240" w:lineRule="auto"/>
        <w:jc w:val="both"/>
        <w:rPr>
          <w:rFonts w:hAnsi="Arial" w:cs="Arial"/>
          <w:color w:val="auto"/>
          <w:lang w:val="en-GB"/>
        </w:rPr>
      </w:pPr>
      <w:r>
        <w:rPr>
          <w:rFonts w:hAnsi="Arial" w:cs="Arial"/>
          <w:color w:val="auto"/>
          <w:lang w:val="en-GB"/>
        </w:rPr>
        <w:t>In the absence of data</w:t>
      </w:r>
      <w:r w:rsidR="001C42C7">
        <w:rPr>
          <w:rFonts w:hAnsi="Arial" w:cs="Arial"/>
          <w:color w:val="auto"/>
          <w:lang w:val="en-GB"/>
        </w:rPr>
        <w:t>,</w:t>
      </w:r>
      <w:r>
        <w:rPr>
          <w:rFonts w:hAnsi="Arial" w:cs="Arial"/>
          <w:color w:val="auto"/>
          <w:lang w:val="en-GB"/>
        </w:rPr>
        <w:t xml:space="preserve"> it</w:t>
      </w:r>
      <w:r w:rsidR="00013744" w:rsidRPr="008F3F4E">
        <w:rPr>
          <w:rFonts w:hAnsi="Arial" w:cs="Arial"/>
          <w:color w:val="auto"/>
          <w:lang w:val="en-GB"/>
        </w:rPr>
        <w:t xml:space="preserve"> can be assumed that some of the Early School Leavers and other individuals benefitting from </w:t>
      </w:r>
      <w:r>
        <w:rPr>
          <w:rFonts w:hAnsi="Arial" w:cs="Arial"/>
          <w:color w:val="auto"/>
          <w:lang w:val="en-GB"/>
        </w:rPr>
        <w:t>general</w:t>
      </w:r>
      <w:r w:rsidRPr="008F3F4E">
        <w:rPr>
          <w:rFonts w:hAnsi="Arial" w:cs="Arial"/>
          <w:color w:val="auto"/>
          <w:lang w:val="en-GB"/>
        </w:rPr>
        <w:t xml:space="preserve"> </w:t>
      </w:r>
      <w:r w:rsidR="00013744" w:rsidRPr="008F3F4E">
        <w:rPr>
          <w:rFonts w:hAnsi="Arial" w:cs="Arial"/>
          <w:color w:val="auto"/>
          <w:lang w:val="en-GB"/>
        </w:rPr>
        <w:t xml:space="preserve">policies might also be disabled people. It is hoped that through the Government’s commitment to reduce the rate of Early School Leavers and to improve basic skills across </w:t>
      </w:r>
      <w:proofErr w:type="gramStart"/>
      <w:r w:rsidR="00013744" w:rsidRPr="008F3F4E">
        <w:rPr>
          <w:rFonts w:hAnsi="Arial" w:cs="Arial"/>
          <w:color w:val="auto"/>
          <w:lang w:val="en-GB"/>
        </w:rPr>
        <w:t>a number of</w:t>
      </w:r>
      <w:proofErr w:type="gramEnd"/>
      <w:r w:rsidR="00013744" w:rsidRPr="008F3F4E">
        <w:rPr>
          <w:rFonts w:hAnsi="Arial" w:cs="Arial"/>
          <w:color w:val="auto"/>
          <w:lang w:val="en-GB"/>
        </w:rPr>
        <w:t xml:space="preserve"> strata, disabled people will also benefit. In addition, it is also hoped that the investment made in lifelong learning programmes meets the specific needs of persons with disability who would like to pursue such courses. One of the positive outcomes of the investment in Lifelong Learning</w:t>
      </w:r>
      <w:r>
        <w:rPr>
          <w:rFonts w:hAnsi="Arial" w:cs="Arial"/>
          <w:color w:val="auto"/>
          <w:lang w:val="en-GB"/>
        </w:rPr>
        <w:t>,</w:t>
      </w:r>
      <w:r w:rsidR="00013744" w:rsidRPr="008F3F4E">
        <w:rPr>
          <w:rFonts w:hAnsi="Arial" w:cs="Arial"/>
          <w:color w:val="auto"/>
          <w:lang w:val="en-GB"/>
        </w:rPr>
        <w:t xml:space="preserve"> and in the investment in mainstream education</w:t>
      </w:r>
      <w:r>
        <w:rPr>
          <w:rFonts w:hAnsi="Arial" w:cs="Arial"/>
          <w:color w:val="auto"/>
          <w:lang w:val="en-GB"/>
        </w:rPr>
        <w:t>,</w:t>
      </w:r>
      <w:r w:rsidR="00013744" w:rsidRPr="008F3F4E">
        <w:rPr>
          <w:rFonts w:hAnsi="Arial" w:cs="Arial"/>
          <w:color w:val="auto"/>
          <w:lang w:val="en-GB"/>
        </w:rPr>
        <w:t xml:space="preserve"> is the steady increase in the number of disabled students attending and graduating from the University of Malta and the Malta College for Arts, Science and Technology</w:t>
      </w:r>
      <w:r>
        <w:rPr>
          <w:rFonts w:hAnsi="Arial" w:cs="Arial"/>
          <w:color w:val="auto"/>
          <w:lang w:val="en-GB"/>
        </w:rPr>
        <w:t>, mentioned earlier</w:t>
      </w:r>
      <w:r w:rsidR="00013744" w:rsidRPr="008F3F4E">
        <w:rPr>
          <w:rFonts w:hAnsi="Arial" w:cs="Arial"/>
          <w:color w:val="auto"/>
          <w:lang w:val="en-GB"/>
        </w:rPr>
        <w:t>.</w:t>
      </w:r>
      <w:r w:rsidR="00013744" w:rsidRPr="008F3F4E">
        <w:rPr>
          <w:rStyle w:val="FootnoteReference"/>
          <w:rFonts w:hAnsi="Arial" w:cs="Arial"/>
          <w:color w:val="auto"/>
          <w:lang w:val="en-GB"/>
        </w:rPr>
        <w:footnoteReference w:id="40"/>
      </w:r>
    </w:p>
    <w:p w14:paraId="39F1F452" w14:textId="77777777" w:rsidR="00013744" w:rsidRPr="008F3F4E" w:rsidRDefault="00013744" w:rsidP="00013744">
      <w:pPr>
        <w:pStyle w:val="Body"/>
        <w:pBdr>
          <w:top w:val="none" w:sz="0" w:space="0" w:color="auto"/>
          <w:left w:val="none" w:sz="0" w:space="0" w:color="auto"/>
          <w:bottom w:val="none" w:sz="0" w:space="0" w:color="auto"/>
          <w:right w:val="none" w:sz="0" w:space="0" w:color="auto"/>
          <w:bar w:val="none" w:sz="0" w:color="auto"/>
        </w:pBdr>
        <w:spacing w:before="0" w:line="240" w:lineRule="auto"/>
        <w:jc w:val="both"/>
        <w:rPr>
          <w:rFonts w:hAnsi="Arial" w:cs="Arial"/>
          <w:color w:val="auto"/>
          <w:lang w:val="en-GB"/>
        </w:rPr>
      </w:pPr>
    </w:p>
    <w:p w14:paraId="1236C77B" w14:textId="45EAC567" w:rsidR="00013744" w:rsidRPr="008F3F4E" w:rsidRDefault="00013744" w:rsidP="00A8687F">
      <w:pPr>
        <w:pStyle w:val="Body"/>
        <w:pBdr>
          <w:top w:val="none" w:sz="0" w:space="0" w:color="auto"/>
          <w:left w:val="none" w:sz="0" w:space="0" w:color="auto"/>
          <w:bottom w:val="none" w:sz="0" w:space="0" w:color="auto"/>
          <w:right w:val="none" w:sz="0" w:space="0" w:color="auto"/>
          <w:bar w:val="none" w:sz="0" w:color="auto"/>
        </w:pBdr>
        <w:spacing w:before="0" w:line="240" w:lineRule="auto"/>
        <w:jc w:val="both"/>
        <w:rPr>
          <w:rFonts w:hAnsi="Arial" w:cs="Arial"/>
          <w:color w:val="auto"/>
          <w:lang w:val="en-GB"/>
        </w:rPr>
      </w:pPr>
      <w:r w:rsidRPr="008F3F4E">
        <w:rPr>
          <w:rFonts w:hAnsi="Arial" w:cs="Arial"/>
          <w:color w:val="auto"/>
          <w:lang w:val="en-GB"/>
        </w:rPr>
        <w:t xml:space="preserve">Another way of reaching disabled people who might be early school leavers is through the </w:t>
      </w:r>
      <w:r w:rsidRPr="00F1435D">
        <w:rPr>
          <w:rFonts w:hAnsi="Arial" w:cs="Arial"/>
          <w:b/>
          <w:bCs/>
          <w:color w:val="auto"/>
          <w:lang w:val="en-GB"/>
        </w:rPr>
        <w:t>Alternative Learning Programme</w:t>
      </w:r>
      <w:r w:rsidRPr="008F3F4E">
        <w:rPr>
          <w:rFonts w:hAnsi="Arial" w:cs="Arial"/>
          <w:color w:val="auto"/>
          <w:lang w:val="en-GB"/>
        </w:rPr>
        <w:t xml:space="preserve"> (ALP) which was launched in January 2014</w:t>
      </w:r>
      <w:r w:rsidR="00F1435D">
        <w:rPr>
          <w:rFonts w:hAnsi="Arial" w:cs="Arial"/>
          <w:color w:val="auto"/>
          <w:lang w:val="en-GB"/>
        </w:rPr>
        <w:t xml:space="preserve"> (now </w:t>
      </w:r>
      <w:r w:rsidR="00A8687F">
        <w:rPr>
          <w:rFonts w:hAnsi="Arial" w:cs="Arial"/>
          <w:color w:val="auto"/>
          <w:lang w:val="en-GB"/>
        </w:rPr>
        <w:t>entering</w:t>
      </w:r>
      <w:r w:rsidR="00F1435D">
        <w:rPr>
          <w:rFonts w:hAnsi="Arial" w:cs="Arial"/>
          <w:color w:val="auto"/>
          <w:lang w:val="en-GB"/>
        </w:rPr>
        <w:t xml:space="preserve"> its </w:t>
      </w:r>
      <w:r w:rsidR="00A8687F">
        <w:rPr>
          <w:rFonts w:hAnsi="Arial" w:cs="Arial"/>
          <w:color w:val="auto"/>
          <w:lang w:val="en-GB"/>
        </w:rPr>
        <w:t>fifth</w:t>
      </w:r>
      <w:r w:rsidR="00F1435D">
        <w:rPr>
          <w:rFonts w:hAnsi="Arial" w:cs="Arial"/>
          <w:color w:val="auto"/>
          <w:lang w:val="en-GB"/>
        </w:rPr>
        <w:t xml:space="preserve"> year)</w:t>
      </w:r>
      <w:r w:rsidRPr="008F3F4E">
        <w:rPr>
          <w:rFonts w:hAnsi="Arial" w:cs="Arial"/>
          <w:color w:val="auto"/>
          <w:lang w:val="en-GB"/>
        </w:rPr>
        <w:t xml:space="preserve">. This programme was </w:t>
      </w:r>
      <w:r w:rsidR="00F1435D">
        <w:rPr>
          <w:rFonts w:hAnsi="Arial" w:cs="Arial"/>
          <w:color w:val="auto"/>
          <w:lang w:val="en-GB"/>
        </w:rPr>
        <w:t>targeted to</w:t>
      </w:r>
      <w:r w:rsidRPr="008F3F4E">
        <w:rPr>
          <w:rFonts w:hAnsi="Arial" w:cs="Arial"/>
          <w:color w:val="auto"/>
          <w:lang w:val="en-GB"/>
        </w:rPr>
        <w:t xml:space="preserve"> students, including disabled students, </w:t>
      </w:r>
      <w:r w:rsidR="00F1435D">
        <w:rPr>
          <w:rFonts w:hAnsi="Arial" w:cs="Arial"/>
          <w:color w:val="auto"/>
          <w:lang w:val="en-GB"/>
        </w:rPr>
        <w:t xml:space="preserve">reaching the end of compulsory schooling </w:t>
      </w:r>
      <w:r w:rsidRPr="008F3F4E">
        <w:rPr>
          <w:rFonts w:hAnsi="Arial" w:cs="Arial"/>
          <w:color w:val="auto"/>
          <w:lang w:val="en-GB"/>
        </w:rPr>
        <w:t xml:space="preserve">who are more oriented towards </w:t>
      </w:r>
      <w:r w:rsidR="004714BF">
        <w:rPr>
          <w:rFonts w:hAnsi="Arial" w:cs="Arial"/>
          <w:color w:val="auto"/>
          <w:lang w:val="en-GB"/>
        </w:rPr>
        <w:t>practical vocational learning</w:t>
      </w:r>
      <w:r w:rsidRPr="008F3F4E">
        <w:rPr>
          <w:rFonts w:hAnsi="Arial" w:cs="Arial"/>
          <w:color w:val="auto"/>
          <w:lang w:val="en-GB"/>
        </w:rPr>
        <w:t xml:space="preserve"> rather than academic learning, and for </w:t>
      </w:r>
      <w:r w:rsidRPr="008F3F4E">
        <w:rPr>
          <w:rFonts w:hAnsi="Arial" w:cs="Arial"/>
          <w:color w:val="auto"/>
          <w:lang w:val="en-GB"/>
        </w:rPr>
        <w:lastRenderedPageBreak/>
        <w:t xml:space="preserve">students who had marked absenteeism or were not aiming to sit for the end of the secondary education examinations. </w:t>
      </w:r>
      <w:r w:rsidR="004714BF">
        <w:rPr>
          <w:rFonts w:hAnsi="Arial" w:cs="Arial"/>
          <w:color w:val="auto"/>
          <w:lang w:val="en-GB"/>
        </w:rPr>
        <w:t xml:space="preserve">The programme was initially criticised by the </w:t>
      </w:r>
      <w:r w:rsidR="004714BF" w:rsidRPr="004714BF">
        <w:rPr>
          <w:rFonts w:hAnsi="Arial" w:cs="Arial"/>
          <w:color w:val="auto"/>
          <w:lang w:val="en-GB"/>
        </w:rPr>
        <w:t>Malta Union of Teachers</w:t>
      </w:r>
      <w:r w:rsidR="004714BF">
        <w:rPr>
          <w:rFonts w:hAnsi="Arial" w:cs="Arial"/>
          <w:color w:val="auto"/>
          <w:lang w:val="en-GB"/>
        </w:rPr>
        <w:t xml:space="preserve"> for lacking a clear curriculum and </w:t>
      </w:r>
      <w:proofErr w:type="gramStart"/>
      <w:r w:rsidR="004714BF">
        <w:rPr>
          <w:rFonts w:hAnsi="Arial" w:cs="Arial"/>
          <w:color w:val="auto"/>
          <w:lang w:val="en-GB"/>
        </w:rPr>
        <w:t>sufficient</w:t>
      </w:r>
      <w:proofErr w:type="gramEnd"/>
      <w:r w:rsidR="004714BF">
        <w:rPr>
          <w:rFonts w:hAnsi="Arial" w:cs="Arial"/>
          <w:color w:val="auto"/>
          <w:lang w:val="en-GB"/>
        </w:rPr>
        <w:t xml:space="preserve"> resources for learning support assistants.</w:t>
      </w:r>
      <w:r w:rsidR="004714BF">
        <w:rPr>
          <w:rStyle w:val="FootnoteReference"/>
          <w:rFonts w:hAnsi="Arial" w:cs="Arial"/>
          <w:color w:val="auto"/>
          <w:lang w:val="en-GB"/>
        </w:rPr>
        <w:footnoteReference w:id="41"/>
      </w:r>
      <w:r w:rsidR="004714BF">
        <w:rPr>
          <w:rFonts w:hAnsi="Arial" w:cs="Arial"/>
          <w:color w:val="auto"/>
          <w:lang w:val="en-GB"/>
        </w:rPr>
        <w:t xml:space="preserve"> More than 260 students completed ALP in 2014 and 180 i</w:t>
      </w:r>
      <w:r w:rsidR="00F1435D">
        <w:rPr>
          <w:rFonts w:hAnsi="Arial" w:cs="Arial"/>
          <w:color w:val="auto"/>
          <w:lang w:val="en-GB"/>
        </w:rPr>
        <w:t>n 2016</w:t>
      </w:r>
      <w:r w:rsidR="004714BF">
        <w:rPr>
          <w:rFonts w:hAnsi="Arial" w:cs="Arial"/>
          <w:color w:val="auto"/>
          <w:lang w:val="en-GB"/>
        </w:rPr>
        <w:t>/</w:t>
      </w:r>
      <w:r w:rsidR="00F1435D">
        <w:rPr>
          <w:rFonts w:hAnsi="Arial" w:cs="Arial"/>
          <w:color w:val="auto"/>
          <w:lang w:val="en-GB"/>
        </w:rPr>
        <w:t>17, although we cannot confirm how many were disabled.</w:t>
      </w:r>
      <w:r w:rsidR="004714BF">
        <w:rPr>
          <w:rFonts w:hAnsi="Arial" w:cs="Arial"/>
          <w:color w:val="auto"/>
          <w:lang w:val="en-GB"/>
        </w:rPr>
        <w:t xml:space="preserve"> An</w:t>
      </w:r>
      <w:r w:rsidR="004714BF" w:rsidRPr="004714BF">
        <w:rPr>
          <w:rFonts w:hAnsi="Arial" w:cs="Arial"/>
          <w:color w:val="auto"/>
          <w:lang w:val="en-GB"/>
        </w:rPr>
        <w:t xml:space="preserve"> Alternative Learning Programme Plus (ALP+) </w:t>
      </w:r>
      <w:r w:rsidR="004714BF">
        <w:rPr>
          <w:rFonts w:hAnsi="Arial" w:cs="Arial"/>
          <w:color w:val="auto"/>
          <w:lang w:val="en-GB"/>
        </w:rPr>
        <w:t>was also introduced in 2016/17, with</w:t>
      </w:r>
      <w:r w:rsidR="004714BF" w:rsidRPr="004714BF">
        <w:rPr>
          <w:rFonts w:hAnsi="Arial" w:cs="Arial"/>
          <w:color w:val="auto"/>
          <w:lang w:val="en-GB"/>
        </w:rPr>
        <w:t xml:space="preserve"> a monthly </w:t>
      </w:r>
      <w:r w:rsidR="004714BF">
        <w:rPr>
          <w:rFonts w:hAnsi="Arial" w:cs="Arial"/>
          <w:color w:val="auto"/>
          <w:lang w:val="en-GB"/>
        </w:rPr>
        <w:t xml:space="preserve">student </w:t>
      </w:r>
      <w:r w:rsidR="004714BF" w:rsidRPr="004714BF">
        <w:rPr>
          <w:rFonts w:hAnsi="Arial" w:cs="Arial"/>
          <w:color w:val="auto"/>
          <w:lang w:val="en-GB"/>
        </w:rPr>
        <w:t>grant.</w:t>
      </w:r>
      <w:r w:rsidR="00F1435D">
        <w:rPr>
          <w:rFonts w:hAnsi="Arial" w:cs="Arial"/>
          <w:color w:val="auto"/>
          <w:lang w:val="en-GB"/>
        </w:rPr>
        <w:t xml:space="preserve"> N</w:t>
      </w:r>
      <w:r w:rsidRPr="008F3F4E">
        <w:rPr>
          <w:rFonts w:hAnsi="Arial" w:cs="Arial"/>
          <w:color w:val="auto"/>
          <w:lang w:val="en-GB"/>
        </w:rPr>
        <w:t xml:space="preserve">otwithstanding the launch of the ALP and other initiatives aimed at improving basic skills and reducing early school-leaving, disabled students still face challenges in terms of access to learning, whether academic or </w:t>
      </w:r>
      <w:r w:rsidR="004714BF">
        <w:rPr>
          <w:rFonts w:hAnsi="Arial" w:cs="Arial"/>
          <w:color w:val="auto"/>
          <w:lang w:val="en-GB"/>
        </w:rPr>
        <w:t>vocational</w:t>
      </w:r>
      <w:r w:rsidRPr="008F3F4E">
        <w:rPr>
          <w:rFonts w:hAnsi="Arial" w:cs="Arial"/>
          <w:color w:val="auto"/>
          <w:lang w:val="en-GB"/>
        </w:rPr>
        <w:t>. Thus, these strategies on their own might not be enough to combat the challenges faced by disabled students.</w:t>
      </w:r>
      <w:r w:rsidRPr="008F3F4E">
        <w:rPr>
          <w:rStyle w:val="FootnoteReference"/>
          <w:rFonts w:hAnsi="Arial" w:cs="Arial"/>
          <w:color w:val="auto"/>
          <w:lang w:val="en-GB"/>
        </w:rPr>
        <w:footnoteReference w:id="42"/>
      </w:r>
      <w:r w:rsidRPr="008F3F4E">
        <w:rPr>
          <w:rFonts w:hAnsi="Arial" w:cs="Arial"/>
          <w:color w:val="auto"/>
          <w:lang w:val="en-GB"/>
        </w:rPr>
        <w:t xml:space="preserve"> </w:t>
      </w:r>
    </w:p>
    <w:p w14:paraId="5A8F7D6B" w14:textId="77777777" w:rsidR="00013744" w:rsidRPr="008F3F4E" w:rsidRDefault="00013744" w:rsidP="00013744">
      <w:pPr>
        <w:jc w:val="both"/>
      </w:pPr>
    </w:p>
    <w:p w14:paraId="48BAEA5E" w14:textId="7D2BCF3E" w:rsidR="008F3F4E" w:rsidRPr="008F3F4E" w:rsidRDefault="00013744" w:rsidP="00707DE0">
      <w:pPr>
        <w:jc w:val="both"/>
      </w:pPr>
      <w:r w:rsidRPr="008F3F4E">
        <w:t xml:space="preserve">The Ministry for Education and Employment has recently embarked on the setting up of a </w:t>
      </w:r>
      <w:r w:rsidRPr="004714BF">
        <w:rPr>
          <w:b/>
          <w:bCs/>
        </w:rPr>
        <w:t>National Skills Council</w:t>
      </w:r>
      <w:r w:rsidRPr="008F3F4E">
        <w:t xml:space="preserve"> </w:t>
      </w:r>
      <w:r w:rsidR="007F337E">
        <w:t>in 2016</w:t>
      </w:r>
      <w:r w:rsidRPr="008F3F4E">
        <w:t>.</w:t>
      </w:r>
      <w:r w:rsidRPr="008F3F4E">
        <w:rPr>
          <w:rStyle w:val="FootnoteReference"/>
        </w:rPr>
        <w:footnoteReference w:id="43"/>
      </w:r>
      <w:r w:rsidRPr="008F3F4E">
        <w:t xml:space="preserve"> The Council is one of the initiatives of the National Lifelong Learning Strategy for Malta 2020.</w:t>
      </w:r>
      <w:r w:rsidRPr="008F3F4E">
        <w:rPr>
          <w:rStyle w:val="FootnoteReference"/>
        </w:rPr>
        <w:footnoteReference w:id="44"/>
      </w:r>
      <w:r w:rsidRPr="008F3F4E">
        <w:t xml:space="preserve"> One of </w:t>
      </w:r>
      <w:r w:rsidR="00707DE0">
        <w:t>its</w:t>
      </w:r>
      <w:r w:rsidR="00707DE0" w:rsidRPr="008F3F4E">
        <w:t xml:space="preserve"> </w:t>
      </w:r>
      <w:r w:rsidRPr="008F3F4E">
        <w:t xml:space="preserve">first aims is to review past and present skills within Malta’s labour force and evaluate the changes that are required to meet current and future needs. The main aim of this exercise is to minimise the skill gaps that exist in different sectors. However, according to the very little information available about this </w:t>
      </w:r>
      <w:r w:rsidR="007F337E">
        <w:t>C</w:t>
      </w:r>
      <w:r w:rsidRPr="008F3F4E">
        <w:t>ouncil</w:t>
      </w:r>
      <w:r w:rsidR="007F337E">
        <w:t xml:space="preserve"> so far</w:t>
      </w:r>
      <w:r w:rsidRPr="008F3F4E">
        <w:t xml:space="preserve">, including the subsidiary legislation, there is no specific mention of persons with disability. In addition, there is no specific </w:t>
      </w:r>
      <w:r w:rsidR="007F337E">
        <w:t xml:space="preserve">requirement for </w:t>
      </w:r>
      <w:r w:rsidRPr="008F3F4E">
        <w:t xml:space="preserve">appointment of a person with a disability on the </w:t>
      </w:r>
      <w:r w:rsidR="00707DE0">
        <w:t>C</w:t>
      </w:r>
      <w:r w:rsidRPr="008F3F4E">
        <w:t>ouncil</w:t>
      </w:r>
      <w:r w:rsidR="007F337E">
        <w:t xml:space="preserve"> (contrary to </w:t>
      </w:r>
      <w:r w:rsidR="00707DE0">
        <w:t>legislative</w:t>
      </w:r>
      <w:r w:rsidR="007F337E">
        <w:t xml:space="preserve"> provisions made for </w:t>
      </w:r>
      <w:r w:rsidR="00BE43BF">
        <w:t xml:space="preserve">several </w:t>
      </w:r>
      <w:r w:rsidR="007F337E">
        <w:t xml:space="preserve">other </w:t>
      </w:r>
      <w:r w:rsidR="00707DE0">
        <w:t xml:space="preserve">similar </w:t>
      </w:r>
      <w:r w:rsidR="007F337E">
        <w:t>public bodies).</w:t>
      </w:r>
      <w:r w:rsidR="007F337E">
        <w:rPr>
          <w:rStyle w:val="FootnoteReference"/>
        </w:rPr>
        <w:footnoteReference w:id="45"/>
      </w:r>
      <w:r w:rsidR="007F337E">
        <w:t xml:space="preserve"> </w:t>
      </w:r>
    </w:p>
    <w:p w14:paraId="1538055A" w14:textId="77777777" w:rsidR="00C7689A" w:rsidRPr="00013744" w:rsidRDefault="00C7689A" w:rsidP="00013744">
      <w:pPr>
        <w:rPr>
          <w:color w:val="FF0000"/>
        </w:rPr>
      </w:pPr>
    </w:p>
    <w:p w14:paraId="69886021" w14:textId="6D62039B" w:rsidR="00172D74" w:rsidRDefault="00DE4BC5" w:rsidP="00A14357">
      <w:pPr>
        <w:pStyle w:val="Heading1"/>
      </w:pPr>
      <w:bookmarkStart w:id="10" w:name="_Toc2697720"/>
      <w:r>
        <w:lastRenderedPageBreak/>
        <w:t xml:space="preserve">Disability, </w:t>
      </w:r>
      <w:r w:rsidR="00172D74">
        <w:t xml:space="preserve">poverty </w:t>
      </w:r>
      <w:r>
        <w:t>and</w:t>
      </w:r>
      <w:r w:rsidR="00172D74">
        <w:t xml:space="preserve"> social exclusion </w:t>
      </w:r>
      <w:r>
        <w:t>– analysis of the situation and the</w:t>
      </w:r>
      <w:r w:rsidR="00172D74">
        <w:t xml:space="preserve"> effectiveness of policies</w:t>
      </w:r>
      <w:bookmarkEnd w:id="10"/>
    </w:p>
    <w:p w14:paraId="59786BC9" w14:textId="77777777" w:rsidR="00895667" w:rsidRDefault="00895667" w:rsidP="001F6793"/>
    <w:p w14:paraId="35E6E4D5" w14:textId="1777A077" w:rsidR="008976C7" w:rsidRDefault="00147BF5" w:rsidP="008976C7">
      <w:pPr>
        <w:autoSpaceDE w:val="0"/>
        <w:autoSpaceDN w:val="0"/>
        <w:adjustRightInd w:val="0"/>
        <w:jc w:val="both"/>
      </w:pPr>
      <w:r>
        <w:t>Malta’s NRP 2018</w:t>
      </w:r>
      <w:r w:rsidR="00126E3A" w:rsidRPr="002C1230">
        <w:t xml:space="preserve"> states that the</w:t>
      </w:r>
      <w:r w:rsidR="00F929E9" w:rsidRPr="002C1230">
        <w:t xml:space="preserve"> reduction of poverty and the promotion of </w:t>
      </w:r>
      <w:r w:rsidR="00126E3A" w:rsidRPr="002C1230">
        <w:t xml:space="preserve">social inclusion are key issues: Malta has committed to lift 6,500 people out of poverty and social exclusion by 2020. </w:t>
      </w:r>
      <w:r>
        <w:t>The</w:t>
      </w:r>
      <w:r w:rsidR="008976C7">
        <w:t xml:space="preserve"> high risk of poverty and social exclusion among </w:t>
      </w:r>
      <w:r w:rsidR="00CB2F8A">
        <w:t>disabled people</w:t>
      </w:r>
      <w:r w:rsidR="008976C7">
        <w:t xml:space="preserve"> means that many of them also fall within the targeted group</w:t>
      </w:r>
      <w:r w:rsidR="00CB2F8A">
        <w:t xml:space="preserve">. </w:t>
      </w:r>
      <w:r>
        <w:t>To this end</w:t>
      </w:r>
      <w:r w:rsidR="00F929E9" w:rsidRPr="002C1230">
        <w:t>, the Gov</w:t>
      </w:r>
      <w:r w:rsidR="008B3D37" w:rsidRPr="002C1230">
        <w:t>ernment has implemented specifi</w:t>
      </w:r>
      <w:r w:rsidR="00F929E9" w:rsidRPr="002C1230">
        <w:t>c programmes and</w:t>
      </w:r>
      <w:r w:rsidR="008B3D37" w:rsidRPr="002C1230">
        <w:t xml:space="preserve"> </w:t>
      </w:r>
      <w:r w:rsidR="00F929E9" w:rsidRPr="002C1230">
        <w:t>initiatives addressing</w:t>
      </w:r>
      <w:r w:rsidR="008B3D37" w:rsidRPr="002C1230">
        <w:t xml:space="preserve"> </w:t>
      </w:r>
      <w:r w:rsidR="00F929E9" w:rsidRPr="002C1230">
        <w:t xml:space="preserve">unemployment, low income, retirement and disability or sickness. </w:t>
      </w:r>
      <w:r w:rsidR="004C7309" w:rsidRPr="002C1230">
        <w:t>A</w:t>
      </w:r>
      <w:r w:rsidR="004C7309">
        <w:t>s confirmed by</w:t>
      </w:r>
      <w:r w:rsidR="004C7309" w:rsidRPr="002C1230">
        <w:t xml:space="preserve"> the European Semester Country Report for Malta, </w:t>
      </w:r>
      <w:r w:rsidR="004C7309" w:rsidRPr="002C1230">
        <w:rPr>
          <w:bCs/>
        </w:rPr>
        <w:t xml:space="preserve">people with disabilities depend </w:t>
      </w:r>
      <w:r w:rsidR="004C7309">
        <w:rPr>
          <w:bCs/>
        </w:rPr>
        <w:t>to large extent</w:t>
      </w:r>
      <w:r w:rsidR="004C7309" w:rsidRPr="002C1230">
        <w:rPr>
          <w:bCs/>
        </w:rPr>
        <w:t xml:space="preserve"> on social transfers</w:t>
      </w:r>
      <w:r w:rsidR="004C7309">
        <w:rPr>
          <w:bCs/>
        </w:rPr>
        <w:t xml:space="preserve"> (which, in the case of disability benefits, are minimal)</w:t>
      </w:r>
      <w:r w:rsidR="004C7309" w:rsidRPr="002C1230">
        <w:rPr>
          <w:bCs/>
        </w:rPr>
        <w:t>.</w:t>
      </w:r>
    </w:p>
    <w:p w14:paraId="047BA7C9" w14:textId="77777777" w:rsidR="008976C7" w:rsidRDefault="008976C7" w:rsidP="008976C7">
      <w:pPr>
        <w:autoSpaceDE w:val="0"/>
        <w:autoSpaceDN w:val="0"/>
        <w:adjustRightInd w:val="0"/>
        <w:jc w:val="both"/>
      </w:pPr>
    </w:p>
    <w:p w14:paraId="30403BFA" w14:textId="49B171C2" w:rsidR="004C7309" w:rsidRDefault="008976C7" w:rsidP="004C7309">
      <w:pPr>
        <w:jc w:val="both"/>
      </w:pPr>
      <w:r>
        <w:t>The NRP notes</w:t>
      </w:r>
      <w:r w:rsidR="00DE1E16" w:rsidRPr="002C1230">
        <w:t xml:space="preserve"> that the </w:t>
      </w:r>
      <w:r>
        <w:t xml:space="preserve">general </w:t>
      </w:r>
      <w:r w:rsidR="00DE1E16" w:rsidRPr="002C1230">
        <w:t xml:space="preserve">at-risk-of poverty or social </w:t>
      </w:r>
      <w:r w:rsidR="00DE1E16" w:rsidRPr="00812684">
        <w:t>exclusion (AROPE) indicator</w:t>
      </w:r>
      <w:r w:rsidR="00DE1E16" w:rsidRPr="00812684">
        <w:rPr>
          <w:rStyle w:val="FootnoteReference"/>
        </w:rPr>
        <w:footnoteReference w:id="46"/>
      </w:r>
      <w:r w:rsidR="002C1230" w:rsidRPr="00812684">
        <w:t xml:space="preserve"> registered a decrease of </w:t>
      </w:r>
      <w:r w:rsidR="00DE1E16" w:rsidRPr="00812684">
        <w:t>2.3 percentage points when compared to 2015 levels, which</w:t>
      </w:r>
      <w:r w:rsidR="00DE1E16" w:rsidRPr="002C1230">
        <w:t xml:space="preserve"> now stands at 20.1%. However, the European comparative data </w:t>
      </w:r>
      <w:r>
        <w:t>from EU-SILC</w:t>
      </w:r>
      <w:r w:rsidR="00DE1E16" w:rsidRPr="002C1230">
        <w:t xml:space="preserve"> shows that</w:t>
      </w:r>
      <w:r>
        <w:t>,</w:t>
      </w:r>
      <w:r w:rsidR="00DE1E16" w:rsidRPr="002C1230">
        <w:t xml:space="preserve"> concerning the age group 16-64, the disability gap </w:t>
      </w:r>
      <w:r w:rsidR="00F6098A" w:rsidRPr="002C1230">
        <w:t xml:space="preserve">(in the percentage of people living in households at risk of poverty) </w:t>
      </w:r>
      <w:r w:rsidR="00DE1E16" w:rsidRPr="002C1230">
        <w:t xml:space="preserve">is relatively high in </w:t>
      </w:r>
      <w:r w:rsidR="00F6098A" w:rsidRPr="002C1230">
        <w:t xml:space="preserve">Malta. Concerning the age group 65 and over it </w:t>
      </w:r>
      <w:r w:rsidR="004C7309">
        <w:t>appears</w:t>
      </w:r>
      <w:r w:rsidR="004C7309" w:rsidRPr="002C1230">
        <w:t xml:space="preserve"> </w:t>
      </w:r>
      <w:r w:rsidR="00F6098A" w:rsidRPr="002C1230">
        <w:t>non-existent</w:t>
      </w:r>
      <w:r w:rsidR="004B35CE">
        <w:t>, which</w:t>
      </w:r>
      <w:r w:rsidR="00240C3C">
        <w:t xml:space="preserve"> </w:t>
      </w:r>
      <w:r w:rsidR="004B35CE" w:rsidRPr="004B35CE">
        <w:t>might be due to the protective influence of old age pensions or/and low levels of income for all pensioners</w:t>
      </w:r>
      <w:r w:rsidR="004B35CE">
        <w:t>.</w:t>
      </w:r>
    </w:p>
    <w:p w14:paraId="42B89CB4" w14:textId="77777777" w:rsidR="004C7309" w:rsidRDefault="004C7309" w:rsidP="004C7309">
      <w:pPr>
        <w:jc w:val="both"/>
      </w:pPr>
    </w:p>
    <w:p w14:paraId="2752B49A" w14:textId="5DA85898" w:rsidR="0066231F" w:rsidRDefault="002C1230" w:rsidP="002F455E">
      <w:pPr>
        <w:jc w:val="both"/>
      </w:pPr>
      <w:r w:rsidRPr="002C1230">
        <w:t>People with disabilities (16-64 years) in Malta face a greater risk of poverty or social exclusion (41.3 %, 2016) compared to EU averages (37.</w:t>
      </w:r>
      <w:r w:rsidR="004C7309">
        <w:t>6</w:t>
      </w:r>
      <w:r w:rsidRPr="002C1230">
        <w:t xml:space="preserve"> %, 2016)</w:t>
      </w:r>
      <w:r w:rsidR="004C7309">
        <w:t xml:space="preserve"> </w:t>
      </w:r>
      <w:r w:rsidR="0066231F">
        <w:t xml:space="preserve">while the national average </w:t>
      </w:r>
      <w:r w:rsidR="00342D5F">
        <w:t xml:space="preserve">for </w:t>
      </w:r>
      <w:r w:rsidR="0066231F">
        <w:t xml:space="preserve">non-disabled people </w:t>
      </w:r>
      <w:r w:rsidR="00342D5F">
        <w:t>in the same age group</w:t>
      </w:r>
      <w:r w:rsidR="0066231F">
        <w:t xml:space="preserve"> is less than the EU average</w:t>
      </w:r>
      <w:r w:rsidR="00342D5F">
        <w:t xml:space="preserve"> (see </w:t>
      </w:r>
      <w:r w:rsidR="00342D5F">
        <w:fldChar w:fldCharType="begin"/>
      </w:r>
      <w:r w:rsidR="00342D5F">
        <w:instrText xml:space="preserve"> REF _Ref521311464 \h </w:instrText>
      </w:r>
      <w:r w:rsidR="00342D5F">
        <w:fldChar w:fldCharType="separate"/>
      </w:r>
      <w:r w:rsidR="00FE3D2A">
        <w:t xml:space="preserve">Table </w:t>
      </w:r>
      <w:r w:rsidR="00FE3D2A">
        <w:rPr>
          <w:noProof/>
        </w:rPr>
        <w:t>21</w:t>
      </w:r>
      <w:r w:rsidR="00342D5F">
        <w:fldChar w:fldCharType="end"/>
      </w:r>
      <w:r w:rsidR="00342D5F">
        <w:t xml:space="preserve"> in annex)</w:t>
      </w:r>
      <w:r w:rsidR="0066231F">
        <w:t xml:space="preserve">. </w:t>
      </w:r>
      <w:r w:rsidR="00342D5F">
        <w:t>The</w:t>
      </w:r>
      <w:r w:rsidR="0066231F">
        <w:t xml:space="preserve"> same data </w:t>
      </w:r>
      <w:r w:rsidR="00342D5F">
        <w:t xml:space="preserve">indicates </w:t>
      </w:r>
      <w:r w:rsidR="0066231F">
        <w:t xml:space="preserve">that trends in </w:t>
      </w:r>
      <w:r w:rsidR="00342D5F">
        <w:t xml:space="preserve">AROPE </w:t>
      </w:r>
      <w:r w:rsidR="0066231F">
        <w:t xml:space="preserve">for non-disabled people </w:t>
      </w:r>
      <w:r w:rsidR="00342D5F">
        <w:t>of working age</w:t>
      </w:r>
      <w:r w:rsidR="0066231F">
        <w:t xml:space="preserve"> </w:t>
      </w:r>
      <w:r w:rsidR="00342D5F">
        <w:t>increased</w:t>
      </w:r>
      <w:r w:rsidR="0066231F">
        <w:t xml:space="preserve"> from 2010 until 2013</w:t>
      </w:r>
      <w:r w:rsidR="00342D5F">
        <w:t xml:space="preserve"> and</w:t>
      </w:r>
      <w:r w:rsidR="0066231F">
        <w:t xml:space="preserve"> started </w:t>
      </w:r>
      <w:r w:rsidR="00342D5F">
        <w:t xml:space="preserve">to </w:t>
      </w:r>
      <w:r w:rsidR="0066231F">
        <w:t>decreas</w:t>
      </w:r>
      <w:r w:rsidR="00342D5F">
        <w:t>e</w:t>
      </w:r>
      <w:r w:rsidR="0066231F">
        <w:t xml:space="preserve"> from 2014. </w:t>
      </w:r>
      <w:r w:rsidR="00342D5F">
        <w:t xml:space="preserve">The trend is more difficult to interpret from year to year for </w:t>
      </w:r>
      <w:r w:rsidR="0066231F">
        <w:t>disabled people</w:t>
      </w:r>
      <w:r w:rsidR="00342D5F">
        <w:t>, due to low reporting of disability in this age group,</w:t>
      </w:r>
      <w:r w:rsidR="0066231F">
        <w:t xml:space="preserve"> </w:t>
      </w:r>
      <w:r w:rsidR="00342D5F">
        <w:t>but w</w:t>
      </w:r>
      <w:r w:rsidR="0066231F">
        <w:t xml:space="preserve">hat is notable is that while for non-disabled people the risk </w:t>
      </w:r>
      <w:r w:rsidR="00240C3C">
        <w:t xml:space="preserve">dropped </w:t>
      </w:r>
      <w:r w:rsidR="0066231F">
        <w:t xml:space="preserve">from </w:t>
      </w:r>
      <w:r w:rsidR="00240C3C">
        <w:t xml:space="preserve">19.8% in </w:t>
      </w:r>
      <w:r w:rsidR="0066231F">
        <w:t>201</w:t>
      </w:r>
      <w:r w:rsidR="00240C3C">
        <w:t>1</w:t>
      </w:r>
      <w:r w:rsidR="0066231F">
        <w:t xml:space="preserve"> to 1</w:t>
      </w:r>
      <w:r w:rsidR="00240C3C">
        <w:t>5.7</w:t>
      </w:r>
      <w:r w:rsidR="0066231F">
        <w:t>.% in 201</w:t>
      </w:r>
      <w:r w:rsidR="00240C3C">
        <w:t>6</w:t>
      </w:r>
      <w:r w:rsidR="00342D5F">
        <w:t>)</w:t>
      </w:r>
      <w:r w:rsidR="0066231F">
        <w:t xml:space="preserve">, for disabled people </w:t>
      </w:r>
      <w:r w:rsidR="00342D5F">
        <w:t>it</w:t>
      </w:r>
      <w:r w:rsidR="00240C3C">
        <w:t xml:space="preserve"> increased from 36.4% in 2011 to 41.3% in 2016 (see table 24 in annex).</w:t>
      </w:r>
      <w:r w:rsidR="00342D5F">
        <w:t xml:space="preserve"> </w:t>
      </w:r>
      <w:r w:rsidR="005B4557">
        <w:t xml:space="preserve">An apparent </w:t>
      </w:r>
      <w:r w:rsidR="00A14357">
        <w:t>seven-point</w:t>
      </w:r>
      <w:r w:rsidR="005B4557">
        <w:t xml:space="preserve"> increase in risk between 2011 and 2012 requires some explanation</w:t>
      </w:r>
      <w:r w:rsidR="0066231F">
        <w:t xml:space="preserve">. </w:t>
      </w:r>
      <w:r w:rsidR="005B4557">
        <w:t>Similarly</w:t>
      </w:r>
      <w:r w:rsidR="00A14357">
        <w:t>,</w:t>
      </w:r>
      <w:r w:rsidR="005B4557">
        <w:t xml:space="preserve"> the recent improvement for non-disabled people age 16-64 appears more rapid than for disabled people (the disability gap widens to 25.6 points in 2016).</w:t>
      </w:r>
    </w:p>
    <w:p w14:paraId="026985FA" w14:textId="77777777" w:rsidR="00CB2F8A" w:rsidRPr="00CB2F8A" w:rsidRDefault="00CB2F8A" w:rsidP="00CB2F8A">
      <w:pPr>
        <w:jc w:val="both"/>
        <w:rPr>
          <w:color w:val="FF0000"/>
        </w:rPr>
      </w:pPr>
    </w:p>
    <w:p w14:paraId="66838723" w14:textId="1C89FDAF" w:rsidR="002C1230" w:rsidRPr="002C1230" w:rsidRDefault="002C1230" w:rsidP="00745FCB">
      <w:pPr>
        <w:jc w:val="both"/>
      </w:pPr>
      <w:r>
        <w:t xml:space="preserve">Although </w:t>
      </w:r>
      <w:r w:rsidRPr="002C1230">
        <w:t xml:space="preserve">Malta’s welfare system </w:t>
      </w:r>
      <w:r>
        <w:t>protects</w:t>
      </w:r>
      <w:r w:rsidRPr="002C1230">
        <w:t xml:space="preserve"> people with disabilities</w:t>
      </w:r>
      <w:r>
        <w:t xml:space="preserve"> to some extent, </w:t>
      </w:r>
      <w:r w:rsidR="005B4557">
        <w:t xml:space="preserve">and the disability in-work poverty rate is not high, </w:t>
      </w:r>
      <w:r w:rsidRPr="002C1230">
        <w:t xml:space="preserve">the lack of inclusion in education and the labour market creates a high degree of </w:t>
      </w:r>
      <w:r w:rsidR="005B4557">
        <w:t xml:space="preserve">out-of-work </w:t>
      </w:r>
      <w:r w:rsidRPr="002C1230">
        <w:t>benefit dependency</w:t>
      </w:r>
      <w:r>
        <w:t xml:space="preserve"> (see previous sections)</w:t>
      </w:r>
      <w:r w:rsidRPr="002C1230">
        <w:t>. People who mainly depend on social transfers do not immediately benefit from labour market improvements, and the impact of recent measures to upgrade disability benefits cannot yet be seen in available income data.</w:t>
      </w:r>
      <w:r w:rsidR="00CB2F8A" w:rsidRPr="00CB2F8A">
        <w:t xml:space="preserve"> </w:t>
      </w:r>
      <w:r w:rsidR="00CB2F8A">
        <w:t>Furthermore</w:t>
      </w:r>
      <w:r w:rsidR="00CB2F8A" w:rsidRPr="00003EC0">
        <w:t xml:space="preserve">, the risks of poverty before social transfers are not corrected for disabled people in Malta to the same extent as most countries, after social </w:t>
      </w:r>
      <w:r w:rsidR="00CB2F8A" w:rsidRPr="00003EC0">
        <w:lastRenderedPageBreak/>
        <w:t>transfers.</w:t>
      </w:r>
      <w:r w:rsidR="00CB2F8A" w:rsidRPr="00003EC0">
        <w:rPr>
          <w:rStyle w:val="FootnoteReference"/>
        </w:rPr>
        <w:footnoteReference w:id="47"/>
      </w:r>
      <w:r w:rsidR="00CB2F8A" w:rsidRPr="00003EC0">
        <w:t xml:space="preserve"> This suggests a relatively weak system of social protection against these risks</w:t>
      </w:r>
      <w:r w:rsidR="00745FCB">
        <w:t xml:space="preserve"> for the large proportion of working age disabled people who are not in work</w:t>
      </w:r>
      <w:r w:rsidR="00CB2F8A" w:rsidRPr="00003EC0">
        <w:t>.</w:t>
      </w:r>
    </w:p>
    <w:p w14:paraId="37C790BB" w14:textId="77777777" w:rsidR="002C1230" w:rsidRPr="002C6495" w:rsidRDefault="002C1230" w:rsidP="002C1230">
      <w:pPr>
        <w:autoSpaceDE w:val="0"/>
        <w:autoSpaceDN w:val="0"/>
        <w:adjustRightInd w:val="0"/>
        <w:jc w:val="both"/>
        <w:rPr>
          <w:szCs w:val="22"/>
        </w:rPr>
      </w:pPr>
    </w:p>
    <w:p w14:paraId="326B777A" w14:textId="7F4E0D9C" w:rsidR="00244A16" w:rsidRDefault="00244A16" w:rsidP="00244A16">
      <w:pPr>
        <w:jc w:val="both"/>
      </w:pPr>
      <w:r w:rsidRPr="00112F7C">
        <w:t xml:space="preserve">The NRP outlines </w:t>
      </w:r>
      <w:proofErr w:type="gramStart"/>
      <w:r>
        <w:t>a number of</w:t>
      </w:r>
      <w:proofErr w:type="gramEnd"/>
      <w:r>
        <w:t xml:space="preserve"> financial</w:t>
      </w:r>
      <w:r w:rsidRPr="00112F7C">
        <w:t xml:space="preserve"> measures the government took, including the extension of the renewal period of </w:t>
      </w:r>
      <w:r w:rsidRPr="00244A16">
        <w:rPr>
          <w:b/>
          <w:bCs/>
        </w:rPr>
        <w:t>free medical aid for disabled pensioners</w:t>
      </w:r>
      <w:r w:rsidRPr="00112F7C">
        <w:t xml:space="preserve"> to one year instead of three months. The measure, which was completed during the first quarter of 2017, had 846 beneficiaries up to the end of 2017.</w:t>
      </w:r>
      <w:r>
        <w:t xml:space="preserve"> </w:t>
      </w:r>
    </w:p>
    <w:p w14:paraId="5FD340D6" w14:textId="77777777" w:rsidR="00244A16" w:rsidRDefault="00244A16" w:rsidP="00244A16">
      <w:pPr>
        <w:jc w:val="both"/>
      </w:pPr>
    </w:p>
    <w:p w14:paraId="466B3074" w14:textId="55DBF47F" w:rsidR="00244A16" w:rsidRPr="00F7537F" w:rsidRDefault="00244A16" w:rsidP="00244A16">
      <w:pPr>
        <w:jc w:val="both"/>
      </w:pPr>
      <w:r>
        <w:t xml:space="preserve">Another measure pertains to the </w:t>
      </w:r>
      <w:r w:rsidRPr="00244A16">
        <w:rPr>
          <w:b/>
          <w:bCs/>
        </w:rPr>
        <w:t>disability pension reform</w:t>
      </w:r>
      <w:r>
        <w:t xml:space="preserve"> in the 2017 Budget, which focused on</w:t>
      </w:r>
      <w:r w:rsidRPr="00F7537F">
        <w:rPr>
          <w:rFonts w:ascii="Gotham-Book" w:hAnsi="Gotham-Book" w:cs="Gotham-Book"/>
          <w:color w:val="00B050"/>
          <w:sz w:val="22"/>
          <w:szCs w:val="22"/>
        </w:rPr>
        <w:t xml:space="preserve"> </w:t>
      </w:r>
      <w:r w:rsidRPr="00C61DAE">
        <w:t xml:space="preserve">strengthening the three-tier payment system in which payment varies according to the degree of disability, by increasing the allowance in certain tiers and </w:t>
      </w:r>
      <w:r w:rsidRPr="007B35F6">
        <w:t xml:space="preserve">extending eligibility. As from January 2018, the eligibility for the </w:t>
      </w:r>
      <w:r w:rsidRPr="00244A16">
        <w:t>Increased Severe Disability Allowance</w:t>
      </w:r>
      <w:r w:rsidRPr="007B35F6">
        <w:t xml:space="preserve"> (ISDA)</w:t>
      </w:r>
      <w:r w:rsidR="001C42C7">
        <w:t>,</w:t>
      </w:r>
      <w:r>
        <w:rPr>
          <w:rStyle w:val="FootnoteReference"/>
        </w:rPr>
        <w:footnoteReference w:id="48"/>
      </w:r>
      <w:r w:rsidRPr="007B35F6">
        <w:t xml:space="preserve"> the pension awarded to persons having a severe disability, increased from a score of 0-4 on the Barthel Index to a score of 0-8</w:t>
      </w:r>
      <w:r w:rsidR="001C42C7">
        <w:t>.</w:t>
      </w:r>
      <w:r>
        <w:rPr>
          <w:rStyle w:val="FootnoteReference"/>
        </w:rPr>
        <w:footnoteReference w:id="49"/>
      </w:r>
      <w:r w:rsidRPr="007B35F6">
        <w:t xml:space="preserve"> </w:t>
      </w:r>
      <w:r>
        <w:t>However, the Barthel Test focuses on the physical aspect and thus tends to exclude persons with psychosocial, intellectual or sensorial impairments that are also severe. It is also worthwhile noting that other disability pensions also tend to be exclusionary</w:t>
      </w:r>
      <w:r w:rsidRPr="00F7537F">
        <w:t xml:space="preserve">: the DA, the disability pension that is given to persons who have total paralysis or permanent total severe malfunction or permanent total disability of one of the upper or lower limbs, tends to exclude persons whose disability is not severe; while the SDA tends to exclude </w:t>
      </w:r>
      <w:r>
        <w:t>p</w:t>
      </w:r>
      <w:r w:rsidRPr="00F7537F">
        <w:t xml:space="preserve">eople with hearing and psychosocial impairments since the </w:t>
      </w:r>
      <w:r>
        <w:t xml:space="preserve">eligibility for this pension is based on the </w:t>
      </w:r>
      <w:r w:rsidRPr="00F7537F">
        <w:t>Social Security Act</w:t>
      </w:r>
      <w:r>
        <w:rPr>
          <w:rStyle w:val="FootnoteReference"/>
        </w:rPr>
        <w:footnoteReference w:id="50"/>
      </w:r>
      <w:r w:rsidRPr="00F7537F">
        <w:t xml:space="preserve"> </w:t>
      </w:r>
      <w:r>
        <w:t xml:space="preserve">which </w:t>
      </w:r>
      <w:r w:rsidRPr="00F7537F">
        <w:t>is based on the medical aspect, rather than the UNCRPD</w:t>
      </w:r>
      <w:r w:rsidR="001C42C7">
        <w:t>.</w:t>
      </w:r>
      <w:r w:rsidRPr="00F7537F">
        <w:rPr>
          <w:rStyle w:val="FootnoteReference"/>
        </w:rPr>
        <w:footnoteReference w:id="51"/>
      </w:r>
      <w:r w:rsidRPr="00F7537F">
        <w:t xml:space="preserve"> </w:t>
      </w:r>
      <w:r>
        <w:t xml:space="preserve">Finally, </w:t>
      </w:r>
      <w:r w:rsidRPr="00F7537F">
        <w:t xml:space="preserve">people with visual impairments </w:t>
      </w:r>
      <w:r>
        <w:t xml:space="preserve">(whether mild or severe) </w:t>
      </w:r>
      <w:r w:rsidRPr="00F7537F">
        <w:t xml:space="preserve">have a separate pension, which they can start receiving at 14 years of age. Meanwhile, all other pensions are granted at 16 years of age.   </w:t>
      </w:r>
    </w:p>
    <w:p w14:paraId="192E9C66" w14:textId="77777777" w:rsidR="00244A16" w:rsidRDefault="00244A16" w:rsidP="00244A16">
      <w:pPr>
        <w:jc w:val="both"/>
      </w:pPr>
    </w:p>
    <w:p w14:paraId="1EF38101" w14:textId="18B58D83" w:rsidR="00244A16" w:rsidRDefault="00244A16" w:rsidP="00240C3C">
      <w:pPr>
        <w:autoSpaceDE w:val="0"/>
        <w:autoSpaceDN w:val="0"/>
        <w:adjustRightInd w:val="0"/>
        <w:jc w:val="both"/>
      </w:pPr>
      <w:r>
        <w:t>T</w:t>
      </w:r>
      <w:r w:rsidRPr="00C61DAE">
        <w:t xml:space="preserve">he Budget for 2018 introduced a </w:t>
      </w:r>
      <w:r w:rsidRPr="00244A16">
        <w:rPr>
          <w:b/>
          <w:bCs/>
        </w:rPr>
        <w:t>stamp duty refund</w:t>
      </w:r>
      <w:r w:rsidRPr="00C61DAE">
        <w:t xml:space="preserve"> (of up to €</w:t>
      </w:r>
      <w:r w:rsidR="002C6495">
        <w:t> </w:t>
      </w:r>
      <w:r w:rsidRPr="00C61DAE">
        <w:t>3,010 for a non-disabled person and up to €</w:t>
      </w:r>
      <w:r w:rsidR="002C6495">
        <w:t> </w:t>
      </w:r>
      <w:r w:rsidRPr="00C61DAE">
        <w:t>5,250 for a disabled person) for those selling their first residence to buy another one (if they do not own any other residential property).</w:t>
      </w:r>
      <w:r>
        <w:t xml:space="preserve"> Parents who purchase a property suitable for a disabled person can also benefit from this scheme, under certain criteria</w:t>
      </w:r>
      <w:r w:rsidR="001C42C7">
        <w:t>.</w:t>
      </w:r>
      <w:r>
        <w:rPr>
          <w:rStyle w:val="FootnoteReference"/>
        </w:rPr>
        <w:footnoteReference w:id="52"/>
      </w:r>
    </w:p>
    <w:p w14:paraId="0C3BCBB1" w14:textId="77777777" w:rsidR="00244A16" w:rsidRDefault="00244A16" w:rsidP="00244A16">
      <w:pPr>
        <w:autoSpaceDE w:val="0"/>
        <w:autoSpaceDN w:val="0"/>
        <w:adjustRightInd w:val="0"/>
      </w:pPr>
    </w:p>
    <w:p w14:paraId="4B552F30" w14:textId="6A8234DA" w:rsidR="00F92204" w:rsidRPr="00112F7C" w:rsidRDefault="00F6098A" w:rsidP="00240C3C">
      <w:pPr>
        <w:autoSpaceDE w:val="0"/>
        <w:autoSpaceDN w:val="0"/>
        <w:adjustRightInd w:val="0"/>
        <w:jc w:val="both"/>
      </w:pPr>
      <w:r w:rsidRPr="00112F7C">
        <w:t xml:space="preserve">The NRP </w:t>
      </w:r>
      <w:r w:rsidR="00244A16">
        <w:t xml:space="preserve">also </w:t>
      </w:r>
      <w:r w:rsidRPr="00112F7C">
        <w:t>states that t</w:t>
      </w:r>
      <w:r w:rsidR="004F645C" w:rsidRPr="00112F7C">
        <w:t xml:space="preserve">he Government continued to address the exclusion </w:t>
      </w:r>
      <w:r w:rsidR="00492E45" w:rsidRPr="00112F7C">
        <w:t xml:space="preserve">challenges of disabled persons, </w:t>
      </w:r>
      <w:r w:rsidR="00244A16">
        <w:t xml:space="preserve">through supported independent living policies </w:t>
      </w:r>
      <w:r w:rsidR="00492E45" w:rsidRPr="00112F7C">
        <w:t>including</w:t>
      </w:r>
      <w:r w:rsidR="002C1230" w:rsidRPr="00112F7C">
        <w:t>: 1)</w:t>
      </w:r>
      <w:r w:rsidR="00492E45" w:rsidRPr="00112F7C">
        <w:t xml:space="preserve"> the launch of</w:t>
      </w:r>
      <w:r w:rsidR="00D403C7">
        <w:t xml:space="preserve"> </w:t>
      </w:r>
      <w:r w:rsidR="00D403C7" w:rsidRPr="00244A16">
        <w:rPr>
          <w:b/>
          <w:bCs/>
        </w:rPr>
        <w:t>residential services</w:t>
      </w:r>
      <w:r w:rsidR="00492E45" w:rsidRPr="00244A16">
        <w:rPr>
          <w:b/>
          <w:bCs/>
        </w:rPr>
        <w:t xml:space="preserve"> </w:t>
      </w:r>
      <w:r w:rsidR="00D403C7" w:rsidRPr="00244A16">
        <w:rPr>
          <w:b/>
          <w:bCs/>
        </w:rPr>
        <w:t>f</w:t>
      </w:r>
      <w:r w:rsidR="00492E45" w:rsidRPr="00244A16">
        <w:rPr>
          <w:b/>
          <w:bCs/>
        </w:rPr>
        <w:t xml:space="preserve">or persons with </w:t>
      </w:r>
      <w:r w:rsidR="002C1230" w:rsidRPr="00244A16">
        <w:rPr>
          <w:b/>
          <w:bCs/>
        </w:rPr>
        <w:t>disability</w:t>
      </w:r>
      <w:r w:rsidR="002C1230" w:rsidRPr="00112F7C">
        <w:t xml:space="preserve">. This project, which was spread over 3 years and expected to be completed in May 2018, opened the first 20 </w:t>
      </w:r>
      <w:r w:rsidR="002C1230" w:rsidRPr="00244A16">
        <w:t>residential homes for disabled people</w:t>
      </w:r>
      <w:r w:rsidR="002C1230" w:rsidRPr="00112F7C">
        <w:t xml:space="preserve"> in the community; </w:t>
      </w:r>
      <w:r w:rsidR="0010027A">
        <w:t xml:space="preserve">2) </w:t>
      </w:r>
      <w:r w:rsidR="002C1230" w:rsidRPr="00112F7C">
        <w:t xml:space="preserve">schemes to support </w:t>
      </w:r>
      <w:r w:rsidR="002C1230" w:rsidRPr="00244A16">
        <w:rPr>
          <w:b/>
          <w:bCs/>
        </w:rPr>
        <w:t>home adaptations</w:t>
      </w:r>
      <w:r w:rsidR="002C1230" w:rsidRPr="00112F7C">
        <w:t xml:space="preserve"> works, through which fi</w:t>
      </w:r>
      <w:r w:rsidR="004F645C" w:rsidRPr="00112F7C">
        <w:t xml:space="preserve">nancial aid and </w:t>
      </w:r>
      <w:r w:rsidR="004F645C" w:rsidRPr="00112F7C">
        <w:lastRenderedPageBreak/>
        <w:t>technical assistance are provided to persons</w:t>
      </w:r>
      <w:r w:rsidR="002C1230" w:rsidRPr="00112F7C">
        <w:t xml:space="preserve"> </w:t>
      </w:r>
      <w:r w:rsidR="004F645C" w:rsidRPr="00112F7C">
        <w:t xml:space="preserve">with disability to carry out the necessary </w:t>
      </w:r>
      <w:r w:rsidR="004F645C" w:rsidRPr="00244A16">
        <w:t>adaptations to their place of residence</w:t>
      </w:r>
      <w:r w:rsidR="002C1230" w:rsidRPr="00112F7C">
        <w:t xml:space="preserve">; and 3) a </w:t>
      </w:r>
      <w:r w:rsidR="004F645C" w:rsidRPr="00244A16">
        <w:rPr>
          <w:b/>
          <w:bCs/>
        </w:rPr>
        <w:t>Personal Assistant Fund</w:t>
      </w:r>
      <w:r w:rsidR="004F645C" w:rsidRPr="00112F7C">
        <w:t xml:space="preserve"> </w:t>
      </w:r>
      <w:r w:rsidR="002C1230" w:rsidRPr="00112F7C">
        <w:t xml:space="preserve">which </w:t>
      </w:r>
      <w:r w:rsidR="004F645C" w:rsidRPr="00112F7C">
        <w:t>was launched in 2016.</w:t>
      </w:r>
      <w:r w:rsidR="00155D13">
        <w:t xml:space="preserve"> </w:t>
      </w:r>
      <w:r w:rsidR="00603E95">
        <w:t>This package of</w:t>
      </w:r>
      <w:r w:rsidR="00155D13">
        <w:t xml:space="preserve"> three measures </w:t>
      </w:r>
      <w:r w:rsidR="00603E95">
        <w:t>is</w:t>
      </w:r>
      <w:r w:rsidR="00155D13">
        <w:t xml:space="preserve"> consistent with the Policy on Independent Supported Living for Disabled Persons in Malta, launched in 2016</w:t>
      </w:r>
      <w:r w:rsidR="00695DF6">
        <w:t>,</w:t>
      </w:r>
      <w:r w:rsidR="00155D13">
        <w:rPr>
          <w:rStyle w:val="FootnoteReference"/>
        </w:rPr>
        <w:footnoteReference w:id="53"/>
      </w:r>
      <w:r w:rsidR="00155D13">
        <w:t xml:space="preserve"> </w:t>
      </w:r>
      <w:r w:rsidR="00695DF6">
        <w:t>which</w:t>
      </w:r>
      <w:r w:rsidR="00155D13">
        <w:t xml:space="preserve"> recommended </w:t>
      </w:r>
      <w:r w:rsidR="00695DF6">
        <w:t xml:space="preserve">investment in </w:t>
      </w:r>
      <w:r w:rsidR="00155D13">
        <w:t>a mix of community and residential based services</w:t>
      </w:r>
      <w:r w:rsidR="00695DF6">
        <w:t xml:space="preserve">. </w:t>
      </w:r>
      <w:r w:rsidR="00F92204">
        <w:t xml:space="preserve">This mix needs to be considered also in light of Malta’s obligations under UNCRPD </w:t>
      </w:r>
      <w:r w:rsidR="00F835CF">
        <w:t>a</w:t>
      </w:r>
      <w:r w:rsidR="00F92204">
        <w:t>rticle 19 and General Comment number 5.</w:t>
      </w:r>
      <w:r w:rsidR="00F92204">
        <w:rPr>
          <w:rStyle w:val="FootnoteReference"/>
        </w:rPr>
        <w:footnoteReference w:id="54"/>
      </w:r>
      <w:r w:rsidR="00F835CF">
        <w:t xml:space="preserve"> Indeed, with regards to article 19, the Committee on the Rights of Persons with Disabilities </w:t>
      </w:r>
      <w:r w:rsidR="005A4F37">
        <w:t xml:space="preserve">voiced its concern, in its concluding observations in September 2018, on the limited financial support to disabled people to engage personal assistants, as well as the fact that Malta has not yet adopted national legislation which incorporates the legal provisions set out in article 19. </w:t>
      </w:r>
    </w:p>
    <w:p w14:paraId="31503B62" w14:textId="77777777" w:rsidR="00F92204" w:rsidRDefault="00F92204" w:rsidP="00240C3C">
      <w:pPr>
        <w:autoSpaceDE w:val="0"/>
        <w:autoSpaceDN w:val="0"/>
        <w:adjustRightInd w:val="0"/>
        <w:jc w:val="both"/>
      </w:pPr>
    </w:p>
    <w:p w14:paraId="13D1C9B1" w14:textId="228B6163" w:rsidR="00695DF6" w:rsidRDefault="00695DF6" w:rsidP="00240C3C">
      <w:pPr>
        <w:autoSpaceDE w:val="0"/>
        <w:autoSpaceDN w:val="0"/>
        <w:adjustRightInd w:val="0"/>
        <w:jc w:val="both"/>
      </w:pPr>
      <w:r>
        <w:t xml:space="preserve">The intention </w:t>
      </w:r>
      <w:r w:rsidR="00603E95">
        <w:t>in developing</w:t>
      </w:r>
      <w:r>
        <w:t xml:space="preserve"> </w:t>
      </w:r>
      <w:r w:rsidR="00603E95">
        <w:t>a</w:t>
      </w:r>
      <w:r>
        <w:t xml:space="preserve"> National Disability </w:t>
      </w:r>
      <w:r w:rsidR="00603E95">
        <w:t>Strategy</w:t>
      </w:r>
      <w:r>
        <w:t xml:space="preserve"> was to ‘provide a spectrum of residential services’ as part of the mix</w:t>
      </w:r>
      <w:r w:rsidR="00F92204">
        <w:t xml:space="preserve"> and</w:t>
      </w:r>
      <w:r>
        <w:t xml:space="preserve"> ‘in the spirit of the UNCRPD’.</w:t>
      </w:r>
      <w:r>
        <w:rPr>
          <w:rStyle w:val="FootnoteReference"/>
        </w:rPr>
        <w:footnoteReference w:id="55"/>
      </w:r>
      <w:r>
        <w:t xml:space="preserve"> This was interpreted as providing </w:t>
      </w:r>
      <w:r w:rsidR="005C683D">
        <w:t xml:space="preserve">small </w:t>
      </w:r>
      <w:r>
        <w:t xml:space="preserve">homes </w:t>
      </w:r>
      <w:r w:rsidR="005C683D">
        <w:t>organised</w:t>
      </w:r>
      <w:r>
        <w:t xml:space="preserve"> </w:t>
      </w:r>
      <w:r w:rsidR="005C683D">
        <w:t xml:space="preserve">and managed </w:t>
      </w:r>
      <w:r>
        <w:t>on a person-centred approach</w:t>
      </w:r>
      <w:r w:rsidR="00F92204">
        <w:t xml:space="preserve">, rather than a medical </w:t>
      </w:r>
      <w:r w:rsidR="005C683D">
        <w:t>one</w:t>
      </w:r>
      <w:r w:rsidR="00F92204">
        <w:t>,</w:t>
      </w:r>
      <w:r>
        <w:t xml:space="preserve"> and compliant with </w:t>
      </w:r>
      <w:r w:rsidR="00212FDF">
        <w:t>N</w:t>
      </w:r>
      <w:r w:rsidR="005C683D">
        <w:t>ational</w:t>
      </w:r>
      <w:r>
        <w:t xml:space="preserve"> Standards for Residential Services for Persons with Disability.</w:t>
      </w:r>
      <w:r>
        <w:rPr>
          <w:rStyle w:val="FootnoteReference"/>
        </w:rPr>
        <w:footnoteReference w:id="56"/>
      </w:r>
      <w:r w:rsidR="00F92204">
        <w:t xml:space="preserve"> </w:t>
      </w:r>
      <w:r w:rsidR="00603E95">
        <w:t xml:space="preserve">The </w:t>
      </w:r>
      <w:r w:rsidR="00603E95" w:rsidRPr="00603E95">
        <w:t>National Policy on the Rights of Persons with Disability</w:t>
      </w:r>
      <w:r w:rsidR="00603E95">
        <w:t xml:space="preserve"> requires that residential homes ‘should be</w:t>
      </w:r>
      <w:r w:rsidR="00A14357">
        <w:t xml:space="preserve"> </w:t>
      </w:r>
      <w:r w:rsidR="00603E95">
        <w:t>of sufficient size to allow them to provide quality services which conform to</w:t>
      </w:r>
      <w:r w:rsidR="00A14357">
        <w:t xml:space="preserve"> </w:t>
      </w:r>
      <w:r w:rsidR="00603E95">
        <w:t>national residential standards, but at the same time allowing them to be located</w:t>
      </w:r>
      <w:r w:rsidR="00A14357">
        <w:t xml:space="preserve"> </w:t>
      </w:r>
      <w:r w:rsidR="00603E95">
        <w:t>within an active community’.</w:t>
      </w:r>
      <w:r w:rsidR="00603E95">
        <w:rPr>
          <w:rStyle w:val="FootnoteReference"/>
        </w:rPr>
        <w:footnoteReference w:id="57"/>
      </w:r>
      <w:r w:rsidR="00603E95">
        <w:t xml:space="preserve"> </w:t>
      </w:r>
      <w:r w:rsidR="005C683D">
        <w:t xml:space="preserve"> </w:t>
      </w:r>
    </w:p>
    <w:p w14:paraId="703B9DA0" w14:textId="77777777" w:rsidR="00240624" w:rsidRPr="002C6495" w:rsidRDefault="00240624" w:rsidP="004F645C">
      <w:pPr>
        <w:rPr>
          <w:color w:val="00B050"/>
          <w:szCs w:val="22"/>
        </w:rPr>
      </w:pPr>
    </w:p>
    <w:p w14:paraId="2EC658E6" w14:textId="713E9B9B" w:rsidR="00D84A45" w:rsidRPr="00D84A45" w:rsidRDefault="00D84A45" w:rsidP="00D84A45">
      <w:pPr>
        <w:contextualSpacing/>
        <w:jc w:val="both"/>
      </w:pPr>
      <w:r>
        <w:t xml:space="preserve">However, residential services for disabled people in the community had started in </w:t>
      </w:r>
      <w:r w:rsidRPr="00D84A45">
        <w:t>2002</w:t>
      </w:r>
      <w:r>
        <w:t xml:space="preserve">, when </w:t>
      </w:r>
      <w:r w:rsidR="001D44E9" w:rsidRPr="001D44E9">
        <w:rPr>
          <w:i/>
        </w:rPr>
        <w:t>Aġ</w:t>
      </w:r>
      <w:r w:rsidRPr="001D44E9">
        <w:rPr>
          <w:i/>
        </w:rPr>
        <w:t>enzija Sapport</w:t>
      </w:r>
      <w:r w:rsidRPr="00D84A45">
        <w:t xml:space="preserve"> started opening small community homes for persons with an intellectual disability and possibly with other disabilities. Up till 2015, it had 7 homes in 6 different communities. These housed from 4 to 16 persons in each home. This agency also supervised agreement</w:t>
      </w:r>
      <w:r w:rsidR="00212FDF">
        <w:t>s</w:t>
      </w:r>
      <w:r w:rsidRPr="00D84A45">
        <w:t xml:space="preserve"> Government had with non-governmental organisations to provide residential services to persons with disability mainly for persons with intellectual disability </w:t>
      </w:r>
      <w:r w:rsidR="00212FDF">
        <w:t xml:space="preserve">and </w:t>
      </w:r>
      <w:r w:rsidRPr="00D84A45">
        <w:t>possibly with other disabilities. Up till 2015, there were similar agreements</w:t>
      </w:r>
      <w:r w:rsidR="00212FDF">
        <w:t xml:space="preserve"> with </w:t>
      </w:r>
      <w:proofErr w:type="spellStart"/>
      <w:r w:rsidR="00212FDF" w:rsidRPr="00212FDF">
        <w:rPr>
          <w:i/>
        </w:rPr>
        <w:t>Fo</w:t>
      </w:r>
      <w:r w:rsidRPr="00212FDF">
        <w:rPr>
          <w:i/>
        </w:rPr>
        <w:t>ndazzjoni</w:t>
      </w:r>
      <w:proofErr w:type="spellEnd"/>
      <w:r w:rsidRPr="00212FDF">
        <w:rPr>
          <w:i/>
        </w:rPr>
        <w:t xml:space="preserve"> Wens</w:t>
      </w:r>
      <w:r w:rsidRPr="00D84A45">
        <w:t xml:space="preserve">, </w:t>
      </w:r>
      <w:proofErr w:type="spellStart"/>
      <w:r w:rsidRPr="00212FDF">
        <w:rPr>
          <w:i/>
        </w:rPr>
        <w:t>Fondazzjoni</w:t>
      </w:r>
      <w:proofErr w:type="spellEnd"/>
      <w:r w:rsidRPr="00212FDF">
        <w:rPr>
          <w:i/>
        </w:rPr>
        <w:t xml:space="preserve"> </w:t>
      </w:r>
      <w:proofErr w:type="spellStart"/>
      <w:r w:rsidRPr="00212FDF">
        <w:rPr>
          <w:i/>
        </w:rPr>
        <w:t>Arka</w:t>
      </w:r>
      <w:proofErr w:type="spellEnd"/>
      <w:r w:rsidRPr="00D84A45">
        <w:t xml:space="preserve"> and </w:t>
      </w:r>
      <w:r w:rsidRPr="00212FDF">
        <w:rPr>
          <w:i/>
        </w:rPr>
        <w:t xml:space="preserve">Dar </w:t>
      </w:r>
      <w:proofErr w:type="spellStart"/>
      <w:r w:rsidRPr="00212FDF">
        <w:rPr>
          <w:i/>
        </w:rPr>
        <w:t>tal-Providenza</w:t>
      </w:r>
      <w:proofErr w:type="spellEnd"/>
      <w:r w:rsidRPr="00D84A45">
        <w:t xml:space="preserve">. These homes housed from 4 to 12 persons in each home. It is to be noted that one home run by </w:t>
      </w:r>
      <w:r w:rsidRPr="00212FDF">
        <w:rPr>
          <w:i/>
        </w:rPr>
        <w:t>Dar tal-Providenza</w:t>
      </w:r>
      <w:r w:rsidRPr="00D84A45">
        <w:t xml:space="preserve"> served three persons with physical impairment only and each person had a separate bedroom. In 2015, the present administration launched a new three-year programme called </w:t>
      </w:r>
      <w:proofErr w:type="spellStart"/>
      <w:r w:rsidRPr="00212FDF">
        <w:rPr>
          <w:i/>
        </w:rPr>
        <w:t>Soċjetà</w:t>
      </w:r>
      <w:proofErr w:type="spellEnd"/>
      <w:r w:rsidRPr="00212FDF">
        <w:rPr>
          <w:i/>
        </w:rPr>
        <w:t xml:space="preserve"> </w:t>
      </w:r>
      <w:proofErr w:type="spellStart"/>
      <w:r w:rsidRPr="00212FDF">
        <w:rPr>
          <w:i/>
        </w:rPr>
        <w:t>Ġusta</w:t>
      </w:r>
      <w:proofErr w:type="spellEnd"/>
      <w:r w:rsidRPr="00D84A45">
        <w:t xml:space="preserve"> (Just Society) to open twenty small residential homes in the community for persons mainly with intellectual disability </w:t>
      </w:r>
      <w:r w:rsidR="00212FDF">
        <w:t xml:space="preserve">and </w:t>
      </w:r>
      <w:r w:rsidRPr="00D84A45">
        <w:t xml:space="preserve">possibly with other disabilities. Up till September 2018, six community homes were opened, five </w:t>
      </w:r>
      <w:r w:rsidR="00A14357" w:rsidRPr="00D84A45">
        <w:t>r</w:t>
      </w:r>
      <w:r w:rsidR="00A14357">
        <w:t>u</w:t>
      </w:r>
      <w:r w:rsidR="00A14357" w:rsidRPr="00D84A45">
        <w:t>ns</w:t>
      </w:r>
      <w:r w:rsidRPr="00D84A45">
        <w:t xml:space="preserve"> by </w:t>
      </w:r>
      <w:r w:rsidRPr="00212FDF">
        <w:rPr>
          <w:i/>
        </w:rPr>
        <w:t>Agenzija Sapport</w:t>
      </w:r>
      <w:r w:rsidRPr="00D84A45">
        <w:t xml:space="preserve"> and the other r</w:t>
      </w:r>
      <w:r w:rsidR="00212FDF">
        <w:t>u</w:t>
      </w:r>
      <w:r w:rsidRPr="00D84A45">
        <w:t xml:space="preserve">n by </w:t>
      </w:r>
      <w:r w:rsidRPr="00212FDF">
        <w:rPr>
          <w:i/>
        </w:rPr>
        <w:t>Dar tal-Providenza</w:t>
      </w:r>
      <w:r w:rsidRPr="00D84A45">
        <w:t xml:space="preserve"> with Government financial backing. In the meantime, two community homes of </w:t>
      </w:r>
      <w:proofErr w:type="spellStart"/>
      <w:r w:rsidRPr="00212FDF">
        <w:rPr>
          <w:i/>
        </w:rPr>
        <w:t>Aġenzija</w:t>
      </w:r>
      <w:proofErr w:type="spellEnd"/>
      <w:r w:rsidRPr="00212FDF">
        <w:rPr>
          <w:i/>
        </w:rPr>
        <w:t xml:space="preserve"> </w:t>
      </w:r>
      <w:proofErr w:type="spellStart"/>
      <w:r w:rsidRPr="00212FDF">
        <w:rPr>
          <w:i/>
        </w:rPr>
        <w:t>Sapport</w:t>
      </w:r>
      <w:proofErr w:type="spellEnd"/>
      <w:r w:rsidRPr="00D84A45">
        <w:t xml:space="preserve"> in </w:t>
      </w:r>
      <w:proofErr w:type="spellStart"/>
      <w:r w:rsidRPr="00D84A45">
        <w:t>Marsascala</w:t>
      </w:r>
      <w:proofErr w:type="spellEnd"/>
      <w:r w:rsidRPr="00D84A45">
        <w:t xml:space="preserve"> closed for refurbishment. No </w:t>
      </w:r>
      <w:r w:rsidRPr="00D84A45">
        <w:lastRenderedPageBreak/>
        <w:t>EU funds were used to run these homes. Hence the aim of opening twenty homes in three years was not met and there is still a waiting list of persons with disabilities asking for this service.</w:t>
      </w:r>
    </w:p>
    <w:p w14:paraId="0A4D4055" w14:textId="77777777" w:rsidR="00D84A45" w:rsidRPr="00D84A45" w:rsidRDefault="00D84A45" w:rsidP="00D84A45">
      <w:pPr>
        <w:contextualSpacing/>
        <w:jc w:val="both"/>
      </w:pPr>
    </w:p>
    <w:p w14:paraId="50A9A903" w14:textId="5C9A0C58" w:rsidR="00D84A45" w:rsidRPr="00D84A45" w:rsidRDefault="00D84A45" w:rsidP="00D84A45">
      <w:pPr>
        <w:contextualSpacing/>
        <w:jc w:val="both"/>
      </w:pPr>
      <w:r w:rsidRPr="00D84A45">
        <w:t>In 2015, the Department for Social Welfare Standard adopted the National Standards for Residential Services for</w:t>
      </w:r>
      <w:r w:rsidR="00212FDF">
        <w:t xml:space="preserve"> Person</w:t>
      </w:r>
      <w:r w:rsidRPr="00D84A45">
        <w:t>s with Disabilities</w:t>
      </w:r>
      <w:r w:rsidR="007E76D3">
        <w:rPr>
          <w:rStyle w:val="FootnoteReference"/>
        </w:rPr>
        <w:footnoteReference w:id="58"/>
      </w:r>
      <w:r w:rsidR="00212FDF">
        <w:t xml:space="preserve"> (mentioned above) which were also adopted b</w:t>
      </w:r>
      <w:r w:rsidRPr="00D84A45">
        <w:t xml:space="preserve">y the Malta Competition and Consumer Affairs Authority. The Standards were introduced </w:t>
      </w:r>
      <w:proofErr w:type="gramStart"/>
      <w:r w:rsidRPr="00D84A45">
        <w:t>in order to</w:t>
      </w:r>
      <w:proofErr w:type="gramEnd"/>
      <w:r w:rsidRPr="00D84A45">
        <w:t xml:space="preserve"> ensure that these services are run according to Article 19 of the UNCRPD, in a person-centred approach. This Department “will promote” these standards, “encourage the best way to implement them”, “supervise how these services are provided,” and until a legislation and a regulatory system are in force, it fulfils these functions “in an administrative manner”.  These Standards cover all types of accommodation of all sizes. However, the document states that new homes </w:t>
      </w:r>
      <w:proofErr w:type="gramStart"/>
      <w:r w:rsidRPr="00D84A45">
        <w:t>have to</w:t>
      </w:r>
      <w:proofErr w:type="gramEnd"/>
      <w:r w:rsidRPr="00D84A45">
        <w:t xml:space="preserve"> be small ones in order to succeed within the community. Inter alia, these Standards state that these homes had to draw up a personalised support plan for each resident with his or her involvement, each resident is assigned a key support worker, the residents are involved in the planning and informed choice of everyday activities, communication is fully accessible to the residents, residents are support to receive the best health care possible including the taking of medicine, palliative care and healthy food, residents are not forced to practise any religion but are support</w:t>
      </w:r>
      <w:r w:rsidR="002D4A49">
        <w:t>ed</w:t>
      </w:r>
      <w:r w:rsidRPr="00D84A45">
        <w:t xml:space="preserve"> to do so if so they wish</w:t>
      </w:r>
      <w:r w:rsidR="002D4A49">
        <w:t>,</w:t>
      </w:r>
      <w:r w:rsidRPr="00D84A45">
        <w:t xml:space="preserve"> a</w:t>
      </w:r>
      <w:r w:rsidR="002D4A49">
        <w:t>nd residents have</w:t>
      </w:r>
      <w:r w:rsidRPr="00D84A45">
        <w:t xml:space="preserve"> every right to leave the residence to go and live in another facilit</w:t>
      </w:r>
      <w:r w:rsidR="007E76D3">
        <w:t xml:space="preserve">y. Furthermore, the facility </w:t>
      </w:r>
      <w:proofErr w:type="gramStart"/>
      <w:r w:rsidR="007E76D3">
        <w:t>has</w:t>
      </w:r>
      <w:r w:rsidRPr="00D84A45">
        <w:t xml:space="preserve"> to</w:t>
      </w:r>
      <w:proofErr w:type="gramEnd"/>
      <w:r w:rsidRPr="00D84A45">
        <w:t xml:space="preserve"> address quickly and effectively complaints raised by the residents, </w:t>
      </w:r>
      <w:r w:rsidR="007E76D3">
        <w:t xml:space="preserve">and, </w:t>
      </w:r>
      <w:r w:rsidRPr="00D84A45">
        <w:t xml:space="preserve">if so they decide, appoint a consultative residents committee, ensure residents’ safety </w:t>
      </w:r>
      <w:r w:rsidR="007E76D3">
        <w:t>through risk evaluations and have</w:t>
      </w:r>
      <w:r w:rsidRPr="00D84A45">
        <w:t xml:space="preserve"> a policy on sexuality and sexual health whilst providing an educational programme on these issues.</w:t>
      </w:r>
    </w:p>
    <w:p w14:paraId="17C5B168" w14:textId="77777777" w:rsidR="00D84A45" w:rsidRPr="00D84A45" w:rsidRDefault="00D84A45" w:rsidP="00D84A45">
      <w:pPr>
        <w:contextualSpacing/>
        <w:jc w:val="both"/>
      </w:pPr>
    </w:p>
    <w:p w14:paraId="1633AA0A" w14:textId="77777777" w:rsidR="00D84A45" w:rsidRPr="00D84A45" w:rsidRDefault="00D84A45" w:rsidP="00D84A45">
      <w:pPr>
        <w:contextualSpacing/>
        <w:jc w:val="both"/>
      </w:pPr>
      <w:r w:rsidRPr="007E76D3">
        <w:rPr>
          <w:i/>
        </w:rPr>
        <w:t>Agenzija Sapport</w:t>
      </w:r>
      <w:r w:rsidRPr="00D84A45">
        <w:t xml:space="preserve"> also supports persons with disability in their homes either by providing them with the service of a carer or else by supporting financially in employing such carers. This can be for a limited number of hours a week or a full-time live-in carer according to individual needs. These are funded by the Agency’s Personal Assistance Fund. There is also a similar scheme for elderly persons who are financially supported when employing a live-in carer.</w:t>
      </w:r>
    </w:p>
    <w:p w14:paraId="570F1181" w14:textId="77777777" w:rsidR="00D84A45" w:rsidRPr="00D84A45" w:rsidRDefault="00D84A45" w:rsidP="00D84A45">
      <w:pPr>
        <w:contextualSpacing/>
        <w:jc w:val="both"/>
      </w:pPr>
    </w:p>
    <w:p w14:paraId="61920176" w14:textId="08686F8C" w:rsidR="00BF46AE" w:rsidRPr="00C61DAE" w:rsidRDefault="006249B1" w:rsidP="00C61DAE">
      <w:pPr>
        <w:jc w:val="both"/>
      </w:pPr>
      <w:r>
        <w:t>These three measures:</w:t>
      </w:r>
      <w:r w:rsidR="00D84A45" w:rsidRPr="00D84A45">
        <w:t xml:space="preserve"> small community homes, financial support to adapt one’s house according to individual needs and the services of personal assistants, offer a spectrum of services so that disabled persons will be </w:t>
      </w:r>
      <w:proofErr w:type="gramStart"/>
      <w:r w:rsidR="00D84A45" w:rsidRPr="00D84A45">
        <w:t>in a position</w:t>
      </w:r>
      <w:proofErr w:type="gramEnd"/>
      <w:r w:rsidR="00D84A45" w:rsidRPr="00D84A45">
        <w:t xml:space="preserve"> to choose his or her place of residence. However, disabled persons in Malta, in this area</w:t>
      </w:r>
      <w:r w:rsidR="007E76D3">
        <w:t>,</w:t>
      </w:r>
      <w:r w:rsidR="00D84A45" w:rsidRPr="00D84A45">
        <w:t xml:space="preserve"> are not being supported in a</w:t>
      </w:r>
      <w:r w:rsidR="000A5368">
        <w:t xml:space="preserve"> holistic and individualised manner</w:t>
      </w:r>
      <w:r w:rsidR="00D84A45" w:rsidRPr="00D84A45">
        <w:t xml:space="preserve">. </w:t>
      </w:r>
      <w:r>
        <w:t xml:space="preserve">A more beneficial </w:t>
      </w:r>
      <w:r w:rsidR="00080380">
        <w:t xml:space="preserve">solution might be one where </w:t>
      </w:r>
      <w:r w:rsidR="000A5368">
        <w:t>a life p</w:t>
      </w:r>
      <w:r w:rsidR="00080380" w:rsidRPr="00D84A45">
        <w:t xml:space="preserve">lan is </w:t>
      </w:r>
      <w:r w:rsidR="000A5368">
        <w:t>drawn up between disabled persons</w:t>
      </w:r>
      <w:r w:rsidR="00080380" w:rsidRPr="00D84A45">
        <w:t xml:space="preserve"> </w:t>
      </w:r>
      <w:r w:rsidR="000A5368">
        <w:t xml:space="preserve">(with support, if necessary) </w:t>
      </w:r>
      <w:r w:rsidR="00080380" w:rsidRPr="00D84A45">
        <w:t xml:space="preserve">and </w:t>
      </w:r>
      <w:r w:rsidR="000A5368">
        <w:t xml:space="preserve">the </w:t>
      </w:r>
      <w:r w:rsidR="00080380" w:rsidRPr="00D84A45">
        <w:t>government for each disabled person, establishing the support needed for the person to live independently</w:t>
      </w:r>
      <w:r w:rsidR="001C42C7">
        <w:t>.</w:t>
      </w:r>
      <w:r w:rsidR="005B7479">
        <w:rPr>
          <w:rStyle w:val="FootnoteReference"/>
        </w:rPr>
        <w:footnoteReference w:id="59"/>
      </w:r>
      <w:r w:rsidR="001C42C7">
        <w:t xml:space="preserve"> </w:t>
      </w:r>
      <w:r w:rsidR="00BF46AE">
        <w:t xml:space="preserve">Other services, such as those targeted </w:t>
      </w:r>
      <w:r w:rsidR="00BF46AE">
        <w:lastRenderedPageBreak/>
        <w:t>at the elderly</w:t>
      </w:r>
      <w:r w:rsidR="001C42C7">
        <w:t>,</w:t>
      </w:r>
      <w:r w:rsidR="00BF46AE">
        <w:rPr>
          <w:rStyle w:val="FootnoteReference"/>
        </w:rPr>
        <w:footnoteReference w:id="60"/>
      </w:r>
      <w:r w:rsidR="00BF46AE">
        <w:t xml:space="preserve"> which include carers at home, home help and meals on wheels, also include elderly people with disabilities. </w:t>
      </w:r>
      <w:r w:rsidR="000064AF">
        <w:t>Furthermore, the Strategy for Retirement and Financial Capability 2017-2019</w:t>
      </w:r>
      <w:r w:rsidR="00412BD4">
        <w:t>,</w:t>
      </w:r>
      <w:r w:rsidR="00A9733D">
        <w:rPr>
          <w:rStyle w:val="FootnoteReference"/>
        </w:rPr>
        <w:footnoteReference w:id="61"/>
      </w:r>
      <w:r w:rsidR="000855C3">
        <w:t xml:space="preserve"> which aims at improving the quality of life during retirement, </w:t>
      </w:r>
      <w:proofErr w:type="gramStart"/>
      <w:r w:rsidR="000855C3">
        <w:t>takes into account</w:t>
      </w:r>
      <w:proofErr w:type="gramEnd"/>
      <w:r w:rsidR="000855C3">
        <w:t xml:space="preserve"> the cost of disability and long-term care. </w:t>
      </w:r>
      <w:r w:rsidR="000064AF">
        <w:t xml:space="preserve"> </w:t>
      </w:r>
    </w:p>
    <w:p w14:paraId="7C108CC2" w14:textId="77777777" w:rsidR="00BE7443" w:rsidRDefault="00BE7443" w:rsidP="005258C8">
      <w:pPr>
        <w:rPr>
          <w:color w:val="92D050"/>
        </w:rPr>
      </w:pPr>
    </w:p>
    <w:p w14:paraId="21F4F460" w14:textId="293D3307" w:rsidR="00BE7443" w:rsidRPr="006367CB" w:rsidRDefault="0054528C" w:rsidP="003E3108">
      <w:pPr>
        <w:jc w:val="both"/>
        <w:rPr>
          <w:lang w:val="mt-MT"/>
        </w:rPr>
      </w:pPr>
      <w:r w:rsidRPr="006367CB">
        <w:t>The NRP also reports that progress was made with respect to the better representation of persons with a disability on Government boards / committees / commissions. This measure was introduced in a legislative Act in 2015 to ensure that persons with a disability can contribute to Government policy direction and that the best interests of persons with a disability and their families are safeguarded in the policy process through mains</w:t>
      </w:r>
      <w:r w:rsidR="003E3108" w:rsidRPr="006367CB">
        <w:t>t</w:t>
      </w:r>
      <w:r w:rsidRPr="006367CB">
        <w:t>reaming.</w:t>
      </w:r>
      <w:r w:rsidRPr="006367CB">
        <w:rPr>
          <w:vertAlign w:val="superscript"/>
          <w:lang w:val="mt-MT"/>
        </w:rPr>
        <w:footnoteReference w:id="62"/>
      </w:r>
      <w:r w:rsidRPr="006367CB">
        <w:rPr>
          <w:lang w:val="mt-MT"/>
        </w:rPr>
        <w:t xml:space="preserve"> The government boards</w:t>
      </w:r>
      <w:r w:rsidRPr="006367CB">
        <w:t xml:space="preserve"> </w:t>
      </w:r>
      <w:r w:rsidRPr="006367CB">
        <w:rPr>
          <w:lang w:val="mt-MT"/>
        </w:rPr>
        <w:t>/</w:t>
      </w:r>
      <w:r w:rsidRPr="006367CB">
        <w:t xml:space="preserve"> </w:t>
      </w:r>
      <w:r w:rsidRPr="006367CB">
        <w:rPr>
          <w:lang w:val="mt-MT"/>
        </w:rPr>
        <w:t>committees</w:t>
      </w:r>
      <w:r w:rsidRPr="006367CB">
        <w:t xml:space="preserve"> </w:t>
      </w:r>
      <w:r w:rsidRPr="006367CB">
        <w:rPr>
          <w:lang w:val="mt-MT"/>
        </w:rPr>
        <w:t>/</w:t>
      </w:r>
      <w:r w:rsidRPr="006367CB">
        <w:t xml:space="preserve"> </w:t>
      </w:r>
      <w:r w:rsidRPr="006367CB">
        <w:rPr>
          <w:lang w:val="mt-MT"/>
        </w:rPr>
        <w:t xml:space="preserve">commissions to include a person with disability include, the Housing Authority Board, the National Commission for Further and Higher Education, Jobsplus (the national employment and training corporation), the Broadcasting Authority, the Commission for Refugees, the Malta Statistics Authority, the National Commission for the Promotion of Equality, the Commission of Domestic Violence, the Commission for Voluntary Organisations, and the Transport Authority. </w:t>
      </w:r>
    </w:p>
    <w:p w14:paraId="2CA4C3C1" w14:textId="6EC5B0EF" w:rsidR="001F6793" w:rsidRDefault="001F6793" w:rsidP="00A14357">
      <w:pPr>
        <w:pStyle w:val="Heading1"/>
      </w:pPr>
      <w:bookmarkStart w:id="11" w:name="_Toc2697721"/>
      <w:r>
        <w:lastRenderedPageBreak/>
        <w:t xml:space="preserve">Opportunities to mainstream disability </w:t>
      </w:r>
      <w:r w:rsidR="00DE4BC5">
        <w:t xml:space="preserve">equality </w:t>
      </w:r>
      <w:r>
        <w:t>in the European Semester review</w:t>
      </w:r>
      <w:r w:rsidR="00DE4BC5">
        <w:t xml:space="preserve"> documents</w:t>
      </w:r>
      <w:bookmarkEnd w:id="11"/>
    </w:p>
    <w:p w14:paraId="24DBA469" w14:textId="77777777" w:rsidR="001F6793" w:rsidRDefault="001F6793" w:rsidP="001F6793"/>
    <w:p w14:paraId="3F76CFC1" w14:textId="77777777" w:rsidR="00D21C2D" w:rsidRPr="00B60928" w:rsidRDefault="00D21C2D" w:rsidP="00D21C2D">
      <w:pPr>
        <w:rPr>
          <w:i/>
        </w:rPr>
      </w:pPr>
      <w:r w:rsidRPr="00B60928">
        <w:rPr>
          <w:i/>
        </w:rPr>
        <w:t>Employment</w:t>
      </w:r>
    </w:p>
    <w:p w14:paraId="4C0D0816" w14:textId="7B155385" w:rsidR="00D21C2D" w:rsidRDefault="00D21C2D" w:rsidP="00603E95">
      <w:pPr>
        <w:jc w:val="both"/>
      </w:pPr>
      <w:r w:rsidRPr="00D14AB1">
        <w:t xml:space="preserve">The </w:t>
      </w:r>
      <w:r w:rsidR="00603E95">
        <w:t xml:space="preserve">2018 </w:t>
      </w:r>
      <w:r w:rsidRPr="00D14AB1">
        <w:t xml:space="preserve">Country Report </w:t>
      </w:r>
      <w:r>
        <w:t xml:space="preserve">(CR) </w:t>
      </w:r>
      <w:r w:rsidRPr="00D14AB1">
        <w:t>refers quite extensively to employment in the context of disability, highlighting the fact that although Malta continues to implement policies addressing labour market and social exclusion, notably through its ‘make work pay’ policies</w:t>
      </w:r>
      <w:r w:rsidR="009C5BBC">
        <w:t>,</w:t>
      </w:r>
      <w:r w:rsidRPr="00D14AB1">
        <w:t xml:space="preserve"> the participation of people with disabilities in the </w:t>
      </w:r>
      <w:r w:rsidRPr="00C8497B">
        <w:t xml:space="preserve">labour market remains low and thus needs attention. The report refers to the employment rate of disabled people in 2015, compared to the EU average, </w:t>
      </w:r>
      <w:r w:rsidR="00603E95">
        <w:t>‘</w:t>
      </w:r>
      <w:r w:rsidRPr="00C8497B">
        <w:t>potentially reflecting the lack of effectiveness of the measures to support their employment</w:t>
      </w:r>
      <w:r w:rsidR="00603E95">
        <w:t>’</w:t>
      </w:r>
      <w:r w:rsidR="00603E95" w:rsidRPr="00C8497B">
        <w:t xml:space="preserve">. </w:t>
      </w:r>
      <w:r w:rsidRPr="00C8497B">
        <w:t>This is also linked to educatio</w:t>
      </w:r>
      <w:r>
        <w:t>n, as</w:t>
      </w:r>
      <w:r w:rsidRPr="00C8497B">
        <w:t xml:space="preserve"> mentioned below. </w:t>
      </w:r>
    </w:p>
    <w:p w14:paraId="55386052" w14:textId="77777777" w:rsidR="00603E95" w:rsidRDefault="00603E95" w:rsidP="00D21C2D">
      <w:pPr>
        <w:jc w:val="both"/>
      </w:pPr>
    </w:p>
    <w:p w14:paraId="2AFC2031" w14:textId="3319761D" w:rsidR="00D21C2D" w:rsidRPr="00B60928" w:rsidRDefault="00D21C2D" w:rsidP="00D21C2D">
      <w:pPr>
        <w:jc w:val="both"/>
      </w:pPr>
      <w:r>
        <w:t xml:space="preserve">The CR notes that measures aimed at improving access to employment for disabled people are showing results, namely the 2% quota enforcement and programmes increasing disabled people’s readiness to work and training employers to adapt the </w:t>
      </w:r>
      <w:r w:rsidRPr="00B60928">
        <w:t>workplace. National data indicate an increase from 11% in 2014 to almost 60%, or 820 employers, employing people with disabilities in 2017. However, as the CR notes, the latest available statistics on disability do not yet give a full understanding of the labour market impacts.</w:t>
      </w:r>
      <w:r w:rsidR="00571053">
        <w:t xml:space="preserve"> </w:t>
      </w:r>
      <w:r w:rsidR="00E17351">
        <w:t xml:space="preserve">While </w:t>
      </w:r>
      <w:proofErr w:type="spellStart"/>
      <w:r w:rsidR="00E17351">
        <w:t>Jobsplus</w:t>
      </w:r>
      <w:proofErr w:type="spellEnd"/>
      <w:r w:rsidR="00E17351">
        <w:t xml:space="preserve"> and the NSO gather statistics on employment, recommendations from the Commission could include the gathering of more disability-specific and regular data on this, </w:t>
      </w:r>
      <w:proofErr w:type="gramStart"/>
      <w:r w:rsidR="00E17351">
        <w:t>in order to</w:t>
      </w:r>
      <w:proofErr w:type="gramEnd"/>
      <w:r w:rsidR="00E17351">
        <w:t xml:space="preserve"> obtain a fuller picture on which policies and practice can then be based. </w:t>
      </w:r>
    </w:p>
    <w:p w14:paraId="4DAC4D2A" w14:textId="77777777" w:rsidR="00603E95" w:rsidRDefault="00603E95" w:rsidP="00D21C2D">
      <w:pPr>
        <w:jc w:val="both"/>
      </w:pPr>
    </w:p>
    <w:p w14:paraId="30400153" w14:textId="6CB65395" w:rsidR="00D21C2D" w:rsidRPr="00E91E55" w:rsidRDefault="00D21C2D" w:rsidP="00571053">
      <w:pPr>
        <w:jc w:val="both"/>
      </w:pPr>
      <w:r w:rsidRPr="00E91E55">
        <w:t xml:space="preserve">The Country Specific Recommendations (CSR), in turn, reiterates that </w:t>
      </w:r>
      <w:proofErr w:type="gramStart"/>
      <w:r w:rsidRPr="00E91E55">
        <w:t>in spite of</w:t>
      </w:r>
      <w:proofErr w:type="gramEnd"/>
      <w:r w:rsidRPr="00E91E55">
        <w:t xml:space="preserve"> strong economic growth, the low labour market participation of disabled people persists, and recommends that inclusion needs </w:t>
      </w:r>
      <w:r w:rsidR="00571053">
        <w:t>‘</w:t>
      </w:r>
      <w:r w:rsidRPr="00E91E55">
        <w:t>to be informed by outcome-based monitoring and evaluation</w:t>
      </w:r>
      <w:r w:rsidR="00571053">
        <w:t>’</w:t>
      </w:r>
      <w:r w:rsidRPr="00E91E55">
        <w:t xml:space="preserve">. However, the CSR does not specify recommendations to increase the employment of disabled people, nor does it specify specifically what might hinder and aid disabled people’s participation in the labour market (as it does with the gender employment gap). </w:t>
      </w:r>
      <w:r w:rsidR="00DF52FB">
        <w:t xml:space="preserve">In this regard, the CSR could take into consideration the </w:t>
      </w:r>
      <w:r w:rsidR="0059192D">
        <w:t xml:space="preserve">need for (and thus recommend) more awareness raising and training to employers, not only about disability issues but also about the benefits of employing disabled people. The Commission could also encourage the collaboration of different entities working towards the facilitation of disabled people in the labour market, </w:t>
      </w:r>
      <w:proofErr w:type="gramStart"/>
      <w:r w:rsidR="0059192D">
        <w:t>in order to</w:t>
      </w:r>
      <w:proofErr w:type="gramEnd"/>
      <w:r w:rsidR="0059192D">
        <w:t xml:space="preserve"> maximise the benefits of initiatives regarding the employment of disabled people. </w:t>
      </w:r>
    </w:p>
    <w:p w14:paraId="31289372" w14:textId="77777777" w:rsidR="00571053" w:rsidRDefault="00571053" w:rsidP="00D21C2D">
      <w:pPr>
        <w:jc w:val="both"/>
      </w:pPr>
    </w:p>
    <w:p w14:paraId="227FAA71" w14:textId="244A2687" w:rsidR="00D21C2D" w:rsidRPr="00581F69" w:rsidRDefault="00571053" w:rsidP="009E71DC">
      <w:pPr>
        <w:jc w:val="both"/>
      </w:pPr>
      <w:r>
        <w:t>Our</w:t>
      </w:r>
      <w:r w:rsidR="00D21C2D" w:rsidRPr="00581F69">
        <w:t xml:space="preserve"> findings and analysis in Chapter 2 </w:t>
      </w:r>
      <w:r w:rsidR="005E7E11">
        <w:t>show that despite the 2% quota</w:t>
      </w:r>
      <w:r w:rsidR="00D21C2D" w:rsidRPr="00581F69">
        <w:t xml:space="preserve">, </w:t>
      </w:r>
      <w:proofErr w:type="gramStart"/>
      <w:r w:rsidR="00D21C2D" w:rsidRPr="00581F69">
        <w:t>a large number of</w:t>
      </w:r>
      <w:proofErr w:type="gramEnd"/>
      <w:r w:rsidR="00D21C2D" w:rsidRPr="00581F69">
        <w:t xml:space="preserve"> companies choose to pay the fine or not abide by the law</w:t>
      </w:r>
      <w:r>
        <w:t>. T</w:t>
      </w:r>
      <w:r w:rsidR="00D21C2D" w:rsidRPr="00581F69">
        <w:t xml:space="preserve">his </w:t>
      </w:r>
      <w:r>
        <w:t xml:space="preserve">may </w:t>
      </w:r>
      <w:r w:rsidR="00D21C2D" w:rsidRPr="00581F69">
        <w:t xml:space="preserve">indicate a lack of awareness / willingness on the part of employers to employ disabled people or to reasonably accommodate workers with disabilities. As was noted in the same chapter, this might also relate to lack of accessible </w:t>
      </w:r>
      <w:r>
        <w:t xml:space="preserve">infrastructure </w:t>
      </w:r>
      <w:r w:rsidR="00D21C2D" w:rsidRPr="00581F69">
        <w:t xml:space="preserve">and safe transportation for persons with disability in general. In this sense, </w:t>
      </w:r>
      <w:r>
        <w:t xml:space="preserve">paragraph 11 of the Council’s </w:t>
      </w:r>
      <w:r w:rsidR="00D21C2D" w:rsidRPr="00581F69">
        <w:t>Recommendation calls attention to the infrastructure and long</w:t>
      </w:r>
      <w:r w:rsidR="009E71DC">
        <w:t>-</w:t>
      </w:r>
      <w:r w:rsidR="00D21C2D" w:rsidRPr="00581F69">
        <w:t>term sustainability challenges that the road transport sector faces</w:t>
      </w:r>
      <w:r w:rsidR="009E71DC">
        <w:t xml:space="preserve"> and</w:t>
      </w:r>
      <w:r w:rsidR="00D21C2D" w:rsidRPr="00581F69">
        <w:t xml:space="preserve"> could </w:t>
      </w:r>
      <w:proofErr w:type="gramStart"/>
      <w:r w:rsidR="00D21C2D" w:rsidRPr="00581F69">
        <w:t>make reference</w:t>
      </w:r>
      <w:proofErr w:type="gramEnd"/>
      <w:r w:rsidR="00D21C2D" w:rsidRPr="00581F69">
        <w:t xml:space="preserve"> to the challenges faced by disabled people in accessing public transport; the lack of accessibility in building and road infrastructure.  </w:t>
      </w:r>
    </w:p>
    <w:p w14:paraId="08813747" w14:textId="77777777" w:rsidR="00D21C2D" w:rsidRPr="00D860EC" w:rsidRDefault="00D21C2D" w:rsidP="00D21C2D">
      <w:pPr>
        <w:rPr>
          <w:i/>
        </w:rPr>
      </w:pPr>
      <w:r>
        <w:rPr>
          <w:i/>
        </w:rPr>
        <w:lastRenderedPageBreak/>
        <w:t>Education</w:t>
      </w:r>
    </w:p>
    <w:p w14:paraId="603257E3" w14:textId="34E1FD61" w:rsidR="00D21C2D" w:rsidRPr="00796B2C" w:rsidRDefault="00D21C2D" w:rsidP="00811513">
      <w:pPr>
        <w:jc w:val="both"/>
      </w:pPr>
      <w:r w:rsidRPr="00D860EC">
        <w:t xml:space="preserve">The CR </w:t>
      </w:r>
      <w:r>
        <w:t xml:space="preserve">strongly links education (with regards </w:t>
      </w:r>
      <w:r w:rsidR="005E7E11">
        <w:t xml:space="preserve">to </w:t>
      </w:r>
      <w:r>
        <w:t xml:space="preserve">disability) to employment, stating that despite some improvements in </w:t>
      </w:r>
      <w:r w:rsidRPr="00CB1A6D">
        <w:t xml:space="preserve">educational outcomes and participation, the participation of disabled people in the labour market remains low. The report suggests that challenges in the labour market </w:t>
      </w:r>
      <w:r w:rsidR="00811513">
        <w:t>‘</w:t>
      </w:r>
      <w:r w:rsidRPr="00CB1A6D">
        <w:t>could be linked to the gap in educational attainment between people with and without disabilities</w:t>
      </w:r>
      <w:r w:rsidR="00811513">
        <w:t>’</w:t>
      </w:r>
      <w:r w:rsidR="00811513" w:rsidRPr="00CB1A6D">
        <w:t xml:space="preserve">, </w:t>
      </w:r>
      <w:r w:rsidRPr="00CB1A6D">
        <w:t>which reflects</w:t>
      </w:r>
      <w:r w:rsidR="00811513">
        <w:t xml:space="preserve"> our assessment and </w:t>
      </w:r>
      <w:r w:rsidRPr="00CB1A6D">
        <w:t>the obstacles disabled children encounter</w:t>
      </w:r>
      <w:r w:rsidR="005E7E11">
        <w:t xml:space="preserve"> in</w:t>
      </w:r>
      <w:r w:rsidRPr="00CB1A6D">
        <w:t xml:space="preserve"> </w:t>
      </w:r>
      <w:r w:rsidR="00811513">
        <w:t>‘</w:t>
      </w:r>
      <w:r w:rsidRPr="00CB1A6D">
        <w:t>reaching their full education potential</w:t>
      </w:r>
      <w:r w:rsidR="00811513">
        <w:t>’</w:t>
      </w:r>
      <w:r w:rsidR="00811513" w:rsidRPr="00CB1A6D">
        <w:t xml:space="preserve">. </w:t>
      </w:r>
      <w:r w:rsidR="00811513">
        <w:t>D</w:t>
      </w:r>
      <w:r>
        <w:t xml:space="preserve">isability is not </w:t>
      </w:r>
      <w:r w:rsidR="00811513">
        <w:t xml:space="preserve">analysed </w:t>
      </w:r>
      <w:r>
        <w:t>in the learning outcomes</w:t>
      </w:r>
      <w:r w:rsidR="00811513">
        <w:t xml:space="preserve"> section of the CR</w:t>
      </w:r>
      <w:r>
        <w:t xml:space="preserve">, where socio-economic background and type of school were noted as being major </w:t>
      </w:r>
      <w:r w:rsidR="00A14357">
        <w:t>influencers but</w:t>
      </w:r>
      <w:r>
        <w:t xml:space="preserve"> is then mentioned in the CSR as one of the</w:t>
      </w:r>
      <w:r w:rsidR="00811513">
        <w:t>se</w:t>
      </w:r>
      <w:r>
        <w:t xml:space="preserve"> factors determining learning outcomes. In this regard, the </w:t>
      </w:r>
      <w:r w:rsidRPr="00796B2C">
        <w:t xml:space="preserve">CSR recommends that Malta develops a comprehensive strategy to improve educational quality and reduce inequalities in educational outcomes between social groups and different school types. It </w:t>
      </w:r>
      <w:r>
        <w:t xml:space="preserve">is </w:t>
      </w:r>
      <w:r w:rsidRPr="00796B2C">
        <w:t xml:space="preserve">assumed that </w:t>
      </w:r>
      <w:r>
        <w:t xml:space="preserve">‘disability status’ is included in </w:t>
      </w:r>
      <w:r w:rsidR="00811513">
        <w:t xml:space="preserve">these </w:t>
      </w:r>
      <w:r>
        <w:t>‘social groups’</w:t>
      </w:r>
      <w:r w:rsidR="00811513">
        <w:t xml:space="preserve"> (this might be clarified to say, ‘including people with disabilities’).</w:t>
      </w:r>
    </w:p>
    <w:p w14:paraId="0662890B" w14:textId="77777777" w:rsidR="00D21C2D" w:rsidRPr="00D14AB1" w:rsidRDefault="00D21C2D" w:rsidP="00D21C2D">
      <w:pPr>
        <w:jc w:val="both"/>
      </w:pPr>
    </w:p>
    <w:p w14:paraId="0D301BDA" w14:textId="311CFA4F" w:rsidR="00D21C2D" w:rsidRDefault="00D21C2D" w:rsidP="00F7390A">
      <w:pPr>
        <w:jc w:val="both"/>
      </w:pPr>
      <w:r>
        <w:t xml:space="preserve">The CR also comes down quite strongly </w:t>
      </w:r>
      <w:r w:rsidR="00811513">
        <w:t xml:space="preserve">on </w:t>
      </w:r>
      <w:r>
        <w:t>the high early school leaving (ESL) rate (</w:t>
      </w:r>
      <w:r w:rsidR="00811513">
        <w:t xml:space="preserve">and acknowledging </w:t>
      </w:r>
      <w:r>
        <w:t xml:space="preserve">that it is especially high for disabled people), noting that while improvements might be seen in the longer term, progress has not been remarkable. </w:t>
      </w:r>
      <w:r w:rsidR="00811513">
        <w:t>The</w:t>
      </w:r>
      <w:r>
        <w:t xml:space="preserve"> CSR does not provide recommendations to reduce Malta’s ESL, besides the comprehensive strategy mentioned above. </w:t>
      </w:r>
      <w:r w:rsidR="00811513">
        <w:t>As we</w:t>
      </w:r>
      <w:r>
        <w:t xml:space="preserve"> mention in Chapter 3, this is of </w:t>
      </w:r>
      <w:proofErr w:type="gramStart"/>
      <w:r>
        <w:t>particular importance</w:t>
      </w:r>
      <w:proofErr w:type="gramEnd"/>
      <w:r>
        <w:t xml:space="preserve"> to disabled students on two counts. First, there are still a great number of disabled students </w:t>
      </w:r>
      <w:r w:rsidR="00811513">
        <w:t xml:space="preserve">segregated </w:t>
      </w:r>
      <w:r>
        <w:t xml:space="preserve">in special schools. Second, disabled students have a much higher rate of ESL. </w:t>
      </w:r>
      <w:r w:rsidR="00811513">
        <w:t>W</w:t>
      </w:r>
      <w:r>
        <w:t xml:space="preserve">hile </w:t>
      </w:r>
      <w:r w:rsidR="00811513">
        <w:t xml:space="preserve">disabled people are mentioned </w:t>
      </w:r>
      <w:r>
        <w:t xml:space="preserve">in the strategy aimed at preventing ESL, there needs to be concrete action as well as hard data on which to base future endeavours. Recommendations by the Commission </w:t>
      </w:r>
      <w:r w:rsidR="00F7390A">
        <w:t>could</w:t>
      </w:r>
      <w:r>
        <w:t xml:space="preserve"> highlight the need for the specific mainstreaming of </w:t>
      </w:r>
      <w:r w:rsidR="00811513">
        <w:t xml:space="preserve">disabled learners </w:t>
      </w:r>
      <w:r>
        <w:t>in all education</w:t>
      </w:r>
      <w:r w:rsidR="00F7390A">
        <w:t>al policies</w:t>
      </w:r>
      <w:r>
        <w:t xml:space="preserve"> </w:t>
      </w:r>
      <w:r w:rsidR="00F7390A">
        <w:t>at all levels</w:t>
      </w:r>
      <w:r>
        <w:t xml:space="preserve">. </w:t>
      </w:r>
    </w:p>
    <w:p w14:paraId="09A93E29" w14:textId="77777777" w:rsidR="00D21C2D" w:rsidRDefault="00D21C2D" w:rsidP="00D21C2D">
      <w:pPr>
        <w:jc w:val="both"/>
      </w:pPr>
    </w:p>
    <w:p w14:paraId="063864DF" w14:textId="15865116" w:rsidR="00D21C2D" w:rsidRDefault="00D21C2D" w:rsidP="00F7390A">
      <w:pPr>
        <w:jc w:val="both"/>
      </w:pPr>
      <w:r>
        <w:t xml:space="preserve">The CR also points out that Malta has one of the lowest shares of tertiary level graduates in the EU, although it acknowledges that </w:t>
      </w:r>
      <w:r w:rsidR="00F7390A">
        <w:t xml:space="preserve">this </w:t>
      </w:r>
      <w:r>
        <w:t xml:space="preserve">is rising steadily. </w:t>
      </w:r>
      <w:r w:rsidR="00F7390A">
        <w:t>D</w:t>
      </w:r>
      <w:r>
        <w:t>isabled people are not mentioned in this</w:t>
      </w:r>
      <w:r w:rsidR="00F7390A">
        <w:t xml:space="preserve"> respect</w:t>
      </w:r>
      <w:r>
        <w:t xml:space="preserve">, nor is this phenomenon mentioned in the CSR. </w:t>
      </w:r>
      <w:r w:rsidR="00F7390A">
        <w:t>This merits attention if a consistent assessment of disability as a persistent factor in employment and poverty outcomes is to be sustained.</w:t>
      </w:r>
    </w:p>
    <w:p w14:paraId="3C826C92" w14:textId="77777777" w:rsidR="00D21C2D" w:rsidRDefault="00D21C2D" w:rsidP="00D21C2D">
      <w:pPr>
        <w:jc w:val="both"/>
      </w:pPr>
    </w:p>
    <w:p w14:paraId="728BE14C" w14:textId="5C1D957B" w:rsidR="00D21C2D" w:rsidRPr="001C36C0" w:rsidRDefault="00D21C2D" w:rsidP="00D21C2D">
      <w:pPr>
        <w:jc w:val="both"/>
        <w:rPr>
          <w:i/>
        </w:rPr>
      </w:pPr>
      <w:r w:rsidRPr="001C36C0">
        <w:rPr>
          <w:i/>
        </w:rPr>
        <w:t xml:space="preserve">Poverty and </w:t>
      </w:r>
      <w:r w:rsidR="00A14357">
        <w:rPr>
          <w:i/>
        </w:rPr>
        <w:t>s</w:t>
      </w:r>
      <w:r w:rsidRPr="001C36C0">
        <w:rPr>
          <w:i/>
        </w:rPr>
        <w:t xml:space="preserve">ocial </w:t>
      </w:r>
      <w:r w:rsidR="00A14357">
        <w:rPr>
          <w:i/>
        </w:rPr>
        <w:t>e</w:t>
      </w:r>
      <w:r w:rsidRPr="001C36C0">
        <w:rPr>
          <w:i/>
        </w:rPr>
        <w:t xml:space="preserve">xclusion </w:t>
      </w:r>
    </w:p>
    <w:p w14:paraId="7B4F0CA7" w14:textId="66AC50DA" w:rsidR="00D21C2D" w:rsidRDefault="00D21C2D" w:rsidP="00815736">
      <w:pPr>
        <w:jc w:val="both"/>
      </w:pPr>
      <w:r w:rsidRPr="004B7DAD">
        <w:t>The CR notes that higher risks of poverty affecting children and the lower-skilled population, together with low tertiary educational attainment and skills levels, hinder efforts to reach overall sustainable and inclusive growth</w:t>
      </w:r>
      <w:r w:rsidR="00815736">
        <w:t>’</w:t>
      </w:r>
      <w:r w:rsidRPr="004B7DAD">
        <w:t xml:space="preserve">. While disabled people are not mentioned </w:t>
      </w:r>
      <w:r w:rsidR="00815736">
        <w:t>here</w:t>
      </w:r>
      <w:r w:rsidRPr="004B7DAD">
        <w:t xml:space="preserve">, as noted above, </w:t>
      </w:r>
      <w:r w:rsidR="00815736">
        <w:t>they</w:t>
      </w:r>
      <w:r w:rsidRPr="004B7DAD">
        <w:t xml:space="preserve"> are more likely to be poor, have </w:t>
      </w:r>
      <w:r w:rsidR="00815736">
        <w:t>lower</w:t>
      </w:r>
      <w:r w:rsidR="00815736" w:rsidRPr="004B7DAD">
        <w:t xml:space="preserve"> </w:t>
      </w:r>
      <w:r w:rsidRPr="004B7DAD">
        <w:t xml:space="preserve">skills for the labour market, and lower educational attainment. </w:t>
      </w:r>
      <w:r>
        <w:t xml:space="preserve">Disabled people often require the use of adapted technology, equipment, transport and </w:t>
      </w:r>
      <w:r w:rsidR="00815736">
        <w:t xml:space="preserve">personal assistance </w:t>
      </w:r>
      <w:proofErr w:type="gramStart"/>
      <w:r>
        <w:t>in order to</w:t>
      </w:r>
      <w:proofErr w:type="gramEnd"/>
      <w:r>
        <w:t xml:space="preserve"> </w:t>
      </w:r>
      <w:r w:rsidR="00815736">
        <w:t xml:space="preserve">maintain </w:t>
      </w:r>
      <w:r>
        <w:t>a decent standard of living</w:t>
      </w:r>
      <w:r w:rsidR="00815736">
        <w:t>, especially in educational and workplace settings</w:t>
      </w:r>
      <w:r>
        <w:t xml:space="preserve">. It is of utmost importance then, that </w:t>
      </w:r>
      <w:r w:rsidR="00815736">
        <w:t>such</w:t>
      </w:r>
      <w:r>
        <w:t xml:space="preserve"> needs are taken into consideration </w:t>
      </w:r>
      <w:r w:rsidR="00815736">
        <w:t>in</w:t>
      </w:r>
      <w:r>
        <w:t xml:space="preserve"> poverty and social exclusion</w:t>
      </w:r>
      <w:r w:rsidR="00815736">
        <w:t xml:space="preserve"> policies</w:t>
      </w:r>
      <w:r>
        <w:t>.</w:t>
      </w:r>
      <w:r w:rsidR="0010027A">
        <w:t xml:space="preserve"> This is significant </w:t>
      </w:r>
      <w:proofErr w:type="gramStart"/>
      <w:r w:rsidR="0010027A">
        <w:t>in light of the fact that</w:t>
      </w:r>
      <w:proofErr w:type="gramEnd"/>
      <w:r w:rsidR="0010027A">
        <w:t xml:space="preserve"> there has been a </w:t>
      </w:r>
      <w:r w:rsidR="00815736">
        <w:t xml:space="preserve">greater </w:t>
      </w:r>
      <w:r w:rsidR="0010027A">
        <w:t>reduction in average poverty risks for the general population in Malta</w:t>
      </w:r>
      <w:r w:rsidR="00815736">
        <w:t xml:space="preserve"> than for</w:t>
      </w:r>
      <w:r w:rsidR="0010027A">
        <w:t xml:space="preserve"> disabled people </w:t>
      </w:r>
      <w:r w:rsidR="00815736">
        <w:t>who risk being left behind in the recovery</w:t>
      </w:r>
      <w:r w:rsidR="0010027A">
        <w:t>.</w:t>
      </w:r>
      <w:r>
        <w:t xml:space="preserve"> The CSR</w:t>
      </w:r>
      <w:r w:rsidR="00815736">
        <w:t>s</w:t>
      </w:r>
      <w:r>
        <w:t xml:space="preserve"> do not mention this aspect specifically</w:t>
      </w:r>
      <w:r w:rsidR="00815736">
        <w:t xml:space="preserve"> but paragraph 7, </w:t>
      </w:r>
      <w:r>
        <w:t xml:space="preserve">which </w:t>
      </w:r>
      <w:r>
        <w:lastRenderedPageBreak/>
        <w:t xml:space="preserve">deals with pension system reform, needs to take </w:t>
      </w:r>
      <w:r w:rsidR="00815736">
        <w:t>consider</w:t>
      </w:r>
      <w:r>
        <w:t xml:space="preserve"> the impact pension reforms have on disabled people and on people with specific disabilities, as mentioned in Chapter 4. </w:t>
      </w:r>
    </w:p>
    <w:p w14:paraId="372FDBBD" w14:textId="77777777" w:rsidR="00815736" w:rsidRDefault="00815736" w:rsidP="00D21C2D">
      <w:pPr>
        <w:jc w:val="both"/>
      </w:pPr>
    </w:p>
    <w:p w14:paraId="5F7A9616" w14:textId="238A0177" w:rsidR="00D21C2D" w:rsidRPr="001F6793" w:rsidRDefault="00D21C2D" w:rsidP="00815736">
      <w:pPr>
        <w:jc w:val="both"/>
      </w:pPr>
      <w:r>
        <w:t>The same recommendation also calls for better access to innovative medicines, which remains a major challenge. Although not specifically mentioned, this impact</w:t>
      </w:r>
      <w:r w:rsidR="00B15847">
        <w:t>s</w:t>
      </w:r>
      <w:r>
        <w:t xml:space="preserve"> </w:t>
      </w:r>
      <w:r w:rsidR="00815736">
        <w:t xml:space="preserve">disproportionately on some groups of </w:t>
      </w:r>
      <w:r>
        <w:t xml:space="preserve">disabled people. </w:t>
      </w:r>
    </w:p>
    <w:p w14:paraId="1C5216E5" w14:textId="5F8F33FB" w:rsidR="001F6793" w:rsidRDefault="001F6793" w:rsidP="00A14357">
      <w:pPr>
        <w:pStyle w:val="Heading1"/>
      </w:pPr>
      <w:bookmarkStart w:id="12" w:name="_Toc2697722"/>
      <w:r>
        <w:lastRenderedPageBreak/>
        <w:t xml:space="preserve">Implementation of </w:t>
      </w:r>
      <w:r w:rsidRPr="001F6793">
        <w:t>the European Structural and Investment Funds (ESIF) in relation to disability</w:t>
      </w:r>
      <w:bookmarkEnd w:id="12"/>
    </w:p>
    <w:p w14:paraId="13CA03B8" w14:textId="77777777" w:rsidR="001F6793" w:rsidRDefault="001F6793" w:rsidP="001F6793"/>
    <w:p w14:paraId="0B5ABE1F" w14:textId="0ABFF1CE" w:rsidR="00113135" w:rsidRPr="00003EC0" w:rsidRDefault="00113135" w:rsidP="00B15847">
      <w:pPr>
        <w:widowControl w:val="0"/>
        <w:autoSpaceDE w:val="0"/>
        <w:autoSpaceDN w:val="0"/>
        <w:adjustRightInd w:val="0"/>
        <w:jc w:val="both"/>
        <w:rPr>
          <w:color w:val="1F1F1F"/>
        </w:rPr>
      </w:pPr>
      <w:r w:rsidRPr="00003EC0">
        <w:t xml:space="preserve">With reference to the programming period 2014-2020, disabled people </w:t>
      </w:r>
      <w:r w:rsidR="00B15847">
        <w:t>were</w:t>
      </w:r>
      <w:r w:rsidR="00B15847" w:rsidRPr="00003EC0">
        <w:t xml:space="preserve"> </w:t>
      </w:r>
      <w:r w:rsidRPr="00003EC0">
        <w:t xml:space="preserve">identified as specific target groups at risk of poverty and social exclusion in both operational programmes. One of the funding priorities which could have a direct effect on disability challenges is Funding Priority 3: </w:t>
      </w:r>
      <w:r w:rsidRPr="00003EC0">
        <w:rPr>
          <w:bCs/>
          <w:color w:val="1F1F1F"/>
        </w:rPr>
        <w:t>Creating Opportunities through investment in human capital and improving health and well-being.</w:t>
      </w:r>
    </w:p>
    <w:p w14:paraId="333C596B" w14:textId="77777777" w:rsidR="00113135" w:rsidRPr="00003EC0" w:rsidRDefault="00113135" w:rsidP="00113135">
      <w:pPr>
        <w:widowControl w:val="0"/>
        <w:autoSpaceDE w:val="0"/>
        <w:autoSpaceDN w:val="0"/>
        <w:adjustRightInd w:val="0"/>
        <w:jc w:val="both"/>
        <w:rPr>
          <w:color w:val="1F1F1F"/>
        </w:rPr>
      </w:pPr>
    </w:p>
    <w:p w14:paraId="2D3F3384" w14:textId="77777777" w:rsidR="00113135" w:rsidRPr="00B15847" w:rsidRDefault="00113135" w:rsidP="00B15847">
      <w:r w:rsidRPr="00B15847">
        <w:t xml:space="preserve">Investment within this priority focuses on the following four thematic areas: </w:t>
      </w:r>
    </w:p>
    <w:p w14:paraId="6CA81A07" w14:textId="77777777" w:rsidR="00113135" w:rsidRPr="00B15847" w:rsidRDefault="00113135" w:rsidP="00B15847"/>
    <w:p w14:paraId="07FB7EE6" w14:textId="07B2E18B" w:rsidR="00113135" w:rsidRPr="00B15847" w:rsidRDefault="00113135" w:rsidP="00A14357">
      <w:pPr>
        <w:pStyle w:val="ListParagraph"/>
        <w:numPr>
          <w:ilvl w:val="0"/>
          <w:numId w:val="36"/>
        </w:numPr>
        <w:ind w:left="567" w:hanging="567"/>
      </w:pPr>
      <w:r w:rsidRPr="00B15847">
        <w:t>Employment and labour mobility</w:t>
      </w:r>
      <w:r w:rsidR="00A14357">
        <w:t>;</w:t>
      </w:r>
      <w:r w:rsidRPr="00B15847">
        <w:t xml:space="preserve"> </w:t>
      </w:r>
    </w:p>
    <w:p w14:paraId="563FF6E0" w14:textId="69368A6E" w:rsidR="00113135" w:rsidRPr="00B15847" w:rsidRDefault="00113135" w:rsidP="00A14357">
      <w:pPr>
        <w:pStyle w:val="ListParagraph"/>
        <w:numPr>
          <w:ilvl w:val="0"/>
          <w:numId w:val="36"/>
        </w:numPr>
        <w:ind w:left="567" w:hanging="567"/>
      </w:pPr>
      <w:r w:rsidRPr="00B15847">
        <w:t>Social Inclusion and Combating Poverty</w:t>
      </w:r>
      <w:r w:rsidR="00A14357">
        <w:t>;</w:t>
      </w:r>
    </w:p>
    <w:p w14:paraId="6EEEC77D" w14:textId="6C69989E" w:rsidR="00113135" w:rsidRPr="00B15847" w:rsidRDefault="00113135" w:rsidP="00A14357">
      <w:pPr>
        <w:pStyle w:val="ListParagraph"/>
        <w:numPr>
          <w:ilvl w:val="0"/>
          <w:numId w:val="36"/>
        </w:numPr>
        <w:ind w:left="567" w:hanging="567"/>
      </w:pPr>
      <w:r w:rsidRPr="00B15847">
        <w:t>Education and Training</w:t>
      </w:r>
      <w:r w:rsidR="00A14357">
        <w:t>;</w:t>
      </w:r>
      <w:r w:rsidRPr="00B15847">
        <w:t xml:space="preserve"> </w:t>
      </w:r>
    </w:p>
    <w:p w14:paraId="5967F7A0" w14:textId="2A10CC80" w:rsidR="00113135" w:rsidRPr="00B15847" w:rsidRDefault="00113135" w:rsidP="00A14357">
      <w:pPr>
        <w:pStyle w:val="ListParagraph"/>
        <w:numPr>
          <w:ilvl w:val="0"/>
          <w:numId w:val="36"/>
        </w:numPr>
        <w:ind w:left="567" w:hanging="567"/>
      </w:pPr>
      <w:r w:rsidRPr="00B15847">
        <w:t>Institutional Capacity and Public Administration</w:t>
      </w:r>
      <w:r w:rsidR="00A14357">
        <w:t>.</w:t>
      </w:r>
      <w:r w:rsidRPr="00B15847">
        <w:t> </w:t>
      </w:r>
    </w:p>
    <w:p w14:paraId="0493A0A7" w14:textId="77777777" w:rsidR="00113135" w:rsidRPr="00003EC0" w:rsidRDefault="00113135" w:rsidP="00113135">
      <w:pPr>
        <w:jc w:val="both"/>
      </w:pPr>
    </w:p>
    <w:p w14:paraId="2E86CCE2" w14:textId="77777777" w:rsidR="00113135" w:rsidRPr="00003EC0" w:rsidRDefault="00113135" w:rsidP="00113135">
      <w:pPr>
        <w:jc w:val="both"/>
      </w:pPr>
      <w:r w:rsidRPr="00003EC0">
        <w:t xml:space="preserve">Thematic Objective 09 under the Partnership Agreement seeks to promote inclusion, combating poverty and any discrimination. Under this objective Government is committed towards integrating vulnerable groups, which include amongst others disabled people, into the labour market. Furthermore, disabled people are amongst the target groups which require specific interventions in relation to social inclusion. </w:t>
      </w:r>
    </w:p>
    <w:p w14:paraId="046EC602" w14:textId="77777777" w:rsidR="00113135" w:rsidRPr="00003EC0" w:rsidRDefault="00113135" w:rsidP="00113135">
      <w:pPr>
        <w:jc w:val="both"/>
      </w:pPr>
    </w:p>
    <w:p w14:paraId="28AEEE47" w14:textId="77777777" w:rsidR="00113135" w:rsidRPr="00003EC0" w:rsidRDefault="00113135" w:rsidP="00113135">
      <w:pPr>
        <w:jc w:val="both"/>
      </w:pPr>
      <w:r w:rsidRPr="00003EC0">
        <w:t xml:space="preserve">Under Thematic Objective 09 the Government is also committed towards creating an integrated active inclusion policy with the aim of combating all forms of discrimination </w:t>
      </w:r>
    </w:p>
    <w:p w14:paraId="59F7F26F" w14:textId="77777777" w:rsidR="00113135" w:rsidRPr="00003EC0" w:rsidRDefault="00113135" w:rsidP="00113135">
      <w:pPr>
        <w:jc w:val="both"/>
      </w:pPr>
    </w:p>
    <w:p w14:paraId="181C6198" w14:textId="4236DE55" w:rsidR="00113135" w:rsidRDefault="00113135" w:rsidP="00113135">
      <w:pPr>
        <w:jc w:val="both"/>
      </w:pPr>
      <w:r w:rsidRPr="00003EC0">
        <w:t xml:space="preserve">The following are </w:t>
      </w:r>
      <w:proofErr w:type="gramStart"/>
      <w:r w:rsidRPr="00003EC0">
        <w:t>a number of</w:t>
      </w:r>
      <w:proofErr w:type="gramEnd"/>
      <w:r w:rsidRPr="00003EC0">
        <w:t xml:space="preserve"> projects </w:t>
      </w:r>
      <w:r w:rsidR="009B3BE8">
        <w:t>targeting disabled people</w:t>
      </w:r>
      <w:r w:rsidR="00620DA4">
        <w:t xml:space="preserve"> specifically</w:t>
      </w:r>
      <w:r w:rsidR="009B3BE8">
        <w:t xml:space="preserve"> that are currently being carried out or that will be carried out through structural funds:  </w:t>
      </w:r>
    </w:p>
    <w:p w14:paraId="7ACC00BB" w14:textId="77777777" w:rsidR="00620DA4" w:rsidRDefault="00620DA4" w:rsidP="00113135">
      <w:pPr>
        <w:jc w:val="both"/>
      </w:pPr>
    </w:p>
    <w:p w14:paraId="7F450622" w14:textId="6073FC0B" w:rsidR="00620DA4" w:rsidRPr="00620DA4" w:rsidRDefault="00620DA4" w:rsidP="00113135">
      <w:pPr>
        <w:jc w:val="both"/>
        <w:rPr>
          <w:b/>
        </w:rPr>
      </w:pPr>
      <w:r w:rsidRPr="00620DA4">
        <w:rPr>
          <w:b/>
        </w:rPr>
        <w:t>ESF 02.048: The VASTE Programme</w:t>
      </w:r>
    </w:p>
    <w:p w14:paraId="7BAE154C" w14:textId="1048B615" w:rsidR="00620DA4" w:rsidRDefault="00620DA4" w:rsidP="00113135">
      <w:pPr>
        <w:jc w:val="both"/>
      </w:pPr>
      <w:r w:rsidRPr="00620DA4">
        <w:t>This project</w:t>
      </w:r>
      <w:r>
        <w:t>, implemented by Jobsplus,</w:t>
      </w:r>
      <w:r w:rsidRPr="00620DA4">
        <w:t xml:space="preserve"> aims at developing the first official Vocational Multi-Disciplinary Assessment Centre to provide holistic assessments to p</w:t>
      </w:r>
      <w:r>
        <w:t>ersons with vulnerability</w:t>
      </w:r>
      <w:r w:rsidRPr="00620DA4">
        <w:t xml:space="preserve"> seeking employment through the creation of multiple training options leading to several employment options. Opportunities for training include: pre-employment training and sheltered employment training (SET). Different employment routes involve: sheltered work, supported employment and employment in the open market. The activities include a comprehensive assessment, training and development options aiming at offering alternative employment for persons with different disabilities and other vulnerable individuals.</w:t>
      </w:r>
      <w:r w:rsidR="00D61197">
        <w:t xml:space="preserve"> </w:t>
      </w:r>
    </w:p>
    <w:p w14:paraId="5CF47D96" w14:textId="77777777" w:rsidR="002F455E" w:rsidRDefault="002F455E" w:rsidP="00113135">
      <w:pPr>
        <w:jc w:val="both"/>
      </w:pPr>
    </w:p>
    <w:p w14:paraId="2A7E3DDC" w14:textId="585CF36A" w:rsidR="00FD2672" w:rsidRPr="00003EC0" w:rsidRDefault="00FD2672" w:rsidP="00113135">
      <w:pPr>
        <w:jc w:val="both"/>
      </w:pPr>
      <w:r>
        <w:t xml:space="preserve">This project has the benefit of offering training to disabled people in facilitating their entry into the labour market. However, it is noteworthy that the project is offering sheltered work, which, as noted before, goes against article 27 of the UNCRPD. Furthermore, as has been mentioned before, training to disabled people is only one side of the coin, with the other being the </w:t>
      </w:r>
      <w:r w:rsidR="00A14357">
        <w:t>much-needed</w:t>
      </w:r>
      <w:r>
        <w:t xml:space="preserve"> training and awareness raising with employers on disability issues and the benefits of employing disabled people. </w:t>
      </w:r>
    </w:p>
    <w:p w14:paraId="314C1044" w14:textId="77777777" w:rsidR="00113135" w:rsidRDefault="00113135" w:rsidP="00113135">
      <w:pPr>
        <w:autoSpaceDE w:val="0"/>
        <w:autoSpaceDN w:val="0"/>
        <w:adjustRightInd w:val="0"/>
        <w:jc w:val="both"/>
        <w:rPr>
          <w:color w:val="000000"/>
        </w:rPr>
      </w:pPr>
    </w:p>
    <w:p w14:paraId="2C16B7AC" w14:textId="56423BCF" w:rsidR="00F61FEC" w:rsidRDefault="00F61FEC" w:rsidP="00F61FEC">
      <w:pPr>
        <w:autoSpaceDE w:val="0"/>
        <w:autoSpaceDN w:val="0"/>
        <w:adjustRightInd w:val="0"/>
        <w:jc w:val="both"/>
        <w:rPr>
          <w:b/>
          <w:color w:val="000000"/>
        </w:rPr>
      </w:pPr>
      <w:r w:rsidRPr="00077C2C">
        <w:rPr>
          <w:b/>
          <w:color w:val="000000"/>
        </w:rPr>
        <w:lastRenderedPageBreak/>
        <w:t>ESF</w:t>
      </w:r>
      <w:r>
        <w:rPr>
          <w:b/>
          <w:color w:val="000000"/>
        </w:rPr>
        <w:t xml:space="preserve"> 02.054: INK -</w:t>
      </w:r>
      <w:r w:rsidRPr="00077C2C">
        <w:rPr>
          <w:b/>
          <w:color w:val="000000"/>
        </w:rPr>
        <w:t xml:space="preserve"> Person-Focused Inclusion project</w:t>
      </w:r>
      <w:r w:rsidR="00D473D0">
        <w:rPr>
          <w:rStyle w:val="FootnoteReference"/>
          <w:b/>
          <w:color w:val="000000"/>
        </w:rPr>
        <w:footnoteReference w:id="63"/>
      </w:r>
      <w:r w:rsidRPr="00077C2C">
        <w:rPr>
          <w:b/>
          <w:color w:val="000000"/>
        </w:rPr>
        <w:t xml:space="preserve"> </w:t>
      </w:r>
    </w:p>
    <w:p w14:paraId="7E91072A" w14:textId="00F313AF" w:rsidR="00F61FEC" w:rsidRPr="002C6495" w:rsidRDefault="00EC2564" w:rsidP="00EC2564">
      <w:pPr>
        <w:jc w:val="both"/>
        <w:rPr>
          <w:shd w:val="clear" w:color="auto" w:fill="FFFFFF"/>
        </w:rPr>
      </w:pPr>
      <w:r w:rsidRPr="002C6495">
        <w:rPr>
          <w:shd w:val="clear" w:color="auto" w:fill="FFFFFF"/>
        </w:rPr>
        <w:t>This project is run by Aġenzija Sapport. The aim of the project is to enhance disabled people’s abilities and facilitate their inclusion in the labour market. It also aims at enhancing disabled people’s ‘social engagement’. Thus</w:t>
      </w:r>
      <w:r w:rsidR="00A14357" w:rsidRPr="002C6495">
        <w:rPr>
          <w:shd w:val="clear" w:color="auto" w:fill="FFFFFF"/>
        </w:rPr>
        <w:t>,</w:t>
      </w:r>
      <w:r w:rsidRPr="002C6495">
        <w:rPr>
          <w:shd w:val="clear" w:color="auto" w:fill="FFFFFF"/>
        </w:rPr>
        <w:t xml:space="preserve"> the project provides: ‘</w:t>
      </w:r>
      <w:r w:rsidR="00F61FEC" w:rsidRPr="002C6495">
        <w:rPr>
          <w:shd w:val="clear" w:color="auto" w:fill="FFFFFF"/>
        </w:rPr>
        <w:t>training and support, skills and site audits (firms/companies/departments); certification and recognition; research and innovative measures; continuation of the National Database of persons with disability and transnational cooperation</w:t>
      </w:r>
      <w:r w:rsidRPr="002C6495">
        <w:rPr>
          <w:shd w:val="clear" w:color="auto" w:fill="FFFFFF"/>
        </w:rPr>
        <w:t>’</w:t>
      </w:r>
      <w:r w:rsidR="00F61FEC" w:rsidRPr="002C6495">
        <w:rPr>
          <w:shd w:val="clear" w:color="auto" w:fill="FFFFFF"/>
        </w:rPr>
        <w:t xml:space="preserve">. </w:t>
      </w:r>
      <w:r w:rsidRPr="002C6495">
        <w:rPr>
          <w:shd w:val="clear" w:color="auto" w:fill="FFFFFF"/>
        </w:rPr>
        <w:t>Training will also be provided through at six</w:t>
      </w:r>
      <w:r w:rsidR="00F61FEC" w:rsidRPr="002C6495">
        <w:rPr>
          <w:shd w:val="clear" w:color="auto" w:fill="FFFFFF"/>
        </w:rPr>
        <w:t xml:space="preserve"> independent-living training centres</w:t>
      </w:r>
      <w:r w:rsidRPr="002C6495">
        <w:rPr>
          <w:shd w:val="clear" w:color="auto" w:fill="FFFFFF"/>
        </w:rPr>
        <w:t xml:space="preserve">. Finally, the project provides a placement scheme that will serve as an opportunity for some of the project beneficiaries to be integrate into the mainstream labour market. </w:t>
      </w:r>
    </w:p>
    <w:p w14:paraId="1CCCD39E" w14:textId="23F013A2" w:rsidR="00F61FEC" w:rsidRPr="002C6495" w:rsidRDefault="00F61FEC" w:rsidP="00EC2564">
      <w:pPr>
        <w:autoSpaceDE w:val="0"/>
        <w:autoSpaceDN w:val="0"/>
        <w:adjustRightInd w:val="0"/>
        <w:jc w:val="both"/>
        <w:rPr>
          <w:shd w:val="clear" w:color="auto" w:fill="FFFFFF"/>
        </w:rPr>
      </w:pPr>
    </w:p>
    <w:p w14:paraId="2F7F758F" w14:textId="5C3E7F68" w:rsidR="00EC2564" w:rsidRPr="002C6495" w:rsidRDefault="00EC2564" w:rsidP="00EC2564">
      <w:pPr>
        <w:autoSpaceDE w:val="0"/>
        <w:autoSpaceDN w:val="0"/>
        <w:adjustRightInd w:val="0"/>
        <w:jc w:val="both"/>
        <w:rPr>
          <w:b/>
        </w:rPr>
      </w:pPr>
      <w:r w:rsidRPr="002C6495">
        <w:rPr>
          <w:shd w:val="clear" w:color="auto" w:fill="FFFFFF"/>
        </w:rPr>
        <w:t xml:space="preserve">It is not clear what </w:t>
      </w:r>
      <w:r w:rsidR="00FD2672" w:rsidRPr="002C6495">
        <w:rPr>
          <w:shd w:val="clear" w:color="auto" w:fill="FFFFFF"/>
        </w:rPr>
        <w:t xml:space="preserve">initiatives </w:t>
      </w:r>
      <w:r w:rsidRPr="002C6495">
        <w:rPr>
          <w:shd w:val="clear" w:color="auto" w:fill="FFFFFF"/>
        </w:rPr>
        <w:t>this project offers that Jobsplus, through its scheme</w:t>
      </w:r>
      <w:r w:rsidR="00FD2672" w:rsidRPr="002C6495">
        <w:rPr>
          <w:shd w:val="clear" w:color="auto" w:fill="FFFFFF"/>
        </w:rPr>
        <w:t>s</w:t>
      </w:r>
      <w:r w:rsidRPr="002C6495">
        <w:rPr>
          <w:shd w:val="clear" w:color="auto" w:fill="FFFFFF"/>
        </w:rPr>
        <w:t xml:space="preserve"> mentioned earlier in this report, and through its VASTE progr</w:t>
      </w:r>
      <w:r w:rsidR="00FD2672" w:rsidRPr="002C6495">
        <w:rPr>
          <w:shd w:val="clear" w:color="auto" w:fill="FFFFFF"/>
        </w:rPr>
        <w:t>amme, does not already provide. While parts of the INK project might be ones which are not being implemented already by others, i</w:t>
      </w:r>
      <w:r w:rsidRPr="002C6495">
        <w:rPr>
          <w:shd w:val="clear" w:color="auto" w:fill="FFFFFF"/>
        </w:rPr>
        <w:t xml:space="preserve">t would seem to be beneficial that, rather than replicating initiatives, entities involved in </w:t>
      </w:r>
      <w:r w:rsidR="00FD2672" w:rsidRPr="002C6495">
        <w:rPr>
          <w:shd w:val="clear" w:color="auto" w:fill="FFFFFF"/>
        </w:rPr>
        <w:t xml:space="preserve">supporting and facilitating the employment of disabled people, work in conjunction with each other, not only to maximise the use of resources, but also for consistency to be applied in initiatives which benefit disabled people.  </w:t>
      </w:r>
    </w:p>
    <w:p w14:paraId="5FF0987C" w14:textId="77777777" w:rsidR="00F61FEC" w:rsidRDefault="00F61FEC" w:rsidP="00113135">
      <w:pPr>
        <w:autoSpaceDE w:val="0"/>
        <w:autoSpaceDN w:val="0"/>
        <w:adjustRightInd w:val="0"/>
        <w:jc w:val="both"/>
        <w:rPr>
          <w:color w:val="000000"/>
        </w:rPr>
      </w:pPr>
    </w:p>
    <w:p w14:paraId="4E18D479" w14:textId="10C0AA27" w:rsidR="00113135" w:rsidRPr="005F10F2" w:rsidRDefault="00113135" w:rsidP="00113135">
      <w:pPr>
        <w:autoSpaceDE w:val="0"/>
        <w:autoSpaceDN w:val="0"/>
        <w:adjustRightInd w:val="0"/>
        <w:jc w:val="both"/>
        <w:rPr>
          <w:b/>
          <w:color w:val="000000"/>
        </w:rPr>
      </w:pPr>
      <w:r w:rsidRPr="005F10F2">
        <w:rPr>
          <w:b/>
          <w:color w:val="000000"/>
        </w:rPr>
        <w:t xml:space="preserve">ESF </w:t>
      </w:r>
      <w:r w:rsidR="00F61FEC">
        <w:rPr>
          <w:b/>
          <w:color w:val="000000"/>
        </w:rPr>
        <w:t>0</w:t>
      </w:r>
      <w:r w:rsidRPr="005F10F2">
        <w:rPr>
          <w:b/>
          <w:color w:val="000000"/>
        </w:rPr>
        <w:t>2.</w:t>
      </w:r>
      <w:r w:rsidR="00F61FEC">
        <w:rPr>
          <w:b/>
          <w:color w:val="000000"/>
        </w:rPr>
        <w:t>0</w:t>
      </w:r>
      <w:r w:rsidRPr="005F10F2">
        <w:rPr>
          <w:b/>
          <w:color w:val="000000"/>
        </w:rPr>
        <w:t xml:space="preserve">63: Knowledge, Training, Communications and Support Measures in Support of Vulnerable Groups </w:t>
      </w:r>
    </w:p>
    <w:p w14:paraId="7281B3DE" w14:textId="6C63EA14" w:rsidR="00077C2C" w:rsidRDefault="00F61FEC" w:rsidP="00113135">
      <w:pPr>
        <w:autoSpaceDE w:val="0"/>
        <w:autoSpaceDN w:val="0"/>
        <w:adjustRightInd w:val="0"/>
        <w:jc w:val="both"/>
        <w:rPr>
          <w:color w:val="000000"/>
        </w:rPr>
      </w:pPr>
      <w:r w:rsidRPr="00F61FEC">
        <w:rPr>
          <w:color w:val="000000"/>
        </w:rPr>
        <w:t>This is an umbrella project, wh</w:t>
      </w:r>
      <w:r w:rsidR="000064AF">
        <w:rPr>
          <w:color w:val="000000"/>
        </w:rPr>
        <w:t>ich will seek to combat poverty</w:t>
      </w:r>
      <w:r w:rsidRPr="00F61FEC">
        <w:rPr>
          <w:color w:val="000000"/>
        </w:rPr>
        <w:t xml:space="preserve"> and to enhance active inclusion by creating equal opportunities for all. Through this operation</w:t>
      </w:r>
      <w:r>
        <w:rPr>
          <w:color w:val="000000"/>
        </w:rPr>
        <w:t>,</w:t>
      </w:r>
      <w:r w:rsidRPr="00F61FEC">
        <w:rPr>
          <w:color w:val="000000"/>
        </w:rPr>
        <w:t xml:space="preserve"> the Ministry </w:t>
      </w:r>
      <w:r>
        <w:rPr>
          <w:color w:val="000000"/>
        </w:rPr>
        <w:t>for the Family, Children’s Rights and Social Solidarity (MFSS)</w:t>
      </w:r>
      <w:r w:rsidRPr="00F61FEC">
        <w:rPr>
          <w:color w:val="000000"/>
        </w:rPr>
        <w:t>, in collaboration with entities that fall under MFSS and entities from other Ministries and transnational partners, will provide training of persons working with disadvantaged groups; Financial Literacy and Retirement Education, Awareness and Pilot Project; Research, Pilot Project and Awareness on Disability; and Enhancing the Social Security Services Support Measure.</w:t>
      </w:r>
      <w:r>
        <w:rPr>
          <w:color w:val="000000"/>
        </w:rPr>
        <w:t xml:space="preserve"> T</w:t>
      </w:r>
      <w:r w:rsidR="00113135">
        <w:rPr>
          <w:color w:val="000000"/>
        </w:rPr>
        <w:t>he Commission for the Right</w:t>
      </w:r>
      <w:r w:rsidR="00CA30C0">
        <w:rPr>
          <w:color w:val="000000"/>
        </w:rPr>
        <w:t>s</w:t>
      </w:r>
      <w:r w:rsidR="00113135">
        <w:rPr>
          <w:color w:val="000000"/>
        </w:rPr>
        <w:t xml:space="preserve"> of Persons with Disability (CRPD)</w:t>
      </w:r>
      <w:r>
        <w:rPr>
          <w:color w:val="000000"/>
        </w:rPr>
        <w:t>, as one of the project partners,</w:t>
      </w:r>
      <w:r w:rsidR="00AE745A">
        <w:rPr>
          <w:color w:val="000000"/>
        </w:rPr>
        <w:t xml:space="preserve"> will be implementing three research studies: one about employment and disabled people; one about intervention services; and another one about formal and informal education to professionals working with or for disabled people. </w:t>
      </w:r>
    </w:p>
    <w:p w14:paraId="38E19B6C" w14:textId="77777777" w:rsidR="00113135" w:rsidRDefault="00113135" w:rsidP="00113135">
      <w:pPr>
        <w:autoSpaceDE w:val="0"/>
        <w:autoSpaceDN w:val="0"/>
        <w:adjustRightInd w:val="0"/>
        <w:jc w:val="both"/>
      </w:pPr>
    </w:p>
    <w:p w14:paraId="06164364" w14:textId="6D18E555" w:rsidR="004606A1" w:rsidRPr="005F10F2" w:rsidRDefault="004606A1" w:rsidP="00113135">
      <w:pPr>
        <w:autoSpaceDE w:val="0"/>
        <w:autoSpaceDN w:val="0"/>
        <w:adjustRightInd w:val="0"/>
        <w:jc w:val="both"/>
        <w:rPr>
          <w:b/>
        </w:rPr>
      </w:pPr>
      <w:r w:rsidRPr="005F10F2">
        <w:rPr>
          <w:b/>
        </w:rPr>
        <w:t xml:space="preserve">ERDF </w:t>
      </w:r>
      <w:r w:rsidR="001F5FE1">
        <w:rPr>
          <w:b/>
        </w:rPr>
        <w:t>0</w:t>
      </w:r>
      <w:r w:rsidRPr="005F10F2">
        <w:rPr>
          <w:b/>
        </w:rPr>
        <w:t>8.</w:t>
      </w:r>
      <w:r w:rsidR="005F10F2" w:rsidRPr="005F10F2">
        <w:rPr>
          <w:b/>
        </w:rPr>
        <w:t>0</w:t>
      </w:r>
      <w:r w:rsidRPr="005F10F2">
        <w:rPr>
          <w:b/>
        </w:rPr>
        <w:t>39: Reach – Fair and inclusive society that promotes an</w:t>
      </w:r>
      <w:r w:rsidR="00CA6658">
        <w:rPr>
          <w:b/>
        </w:rPr>
        <w:t>d</w:t>
      </w:r>
      <w:r w:rsidRPr="005F10F2">
        <w:rPr>
          <w:b/>
        </w:rPr>
        <w:t xml:space="preserve"> advocates independent living and employment</w:t>
      </w:r>
      <w:r w:rsidR="00D473D0">
        <w:rPr>
          <w:rStyle w:val="FootnoteReference"/>
          <w:b/>
        </w:rPr>
        <w:footnoteReference w:id="64"/>
      </w:r>
    </w:p>
    <w:p w14:paraId="61DE8974" w14:textId="0846E2D1" w:rsidR="00113135" w:rsidRPr="00003EC0" w:rsidRDefault="00077C2C" w:rsidP="00113135">
      <w:pPr>
        <w:autoSpaceDE w:val="0"/>
        <w:autoSpaceDN w:val="0"/>
        <w:adjustRightInd w:val="0"/>
        <w:jc w:val="both"/>
      </w:pPr>
      <w:r>
        <w:t>Agenzija Sa</w:t>
      </w:r>
      <w:r w:rsidR="00C90CF3">
        <w:t>pport will be leading this</w:t>
      </w:r>
      <w:r w:rsidR="004606A1" w:rsidRPr="004606A1">
        <w:t xml:space="preserve"> project </w:t>
      </w:r>
      <w:r w:rsidR="00C90CF3">
        <w:t>to promote and advocate for</w:t>
      </w:r>
      <w:r w:rsidR="004606A1" w:rsidRPr="004606A1">
        <w:t xml:space="preserve"> independent living and employment. This project </w:t>
      </w:r>
      <w:r w:rsidR="00152AB3">
        <w:t xml:space="preserve">comprises ‘semi-independent living arrangements’, which are aimed at improving disabled people’s quality of life. It aims at facilitating the integration of disabled people in the community. This will be done through the provision of residential and employment opportunities. Through support and training which will be offered both at the Community Centre and through workshops, </w:t>
      </w:r>
      <w:r w:rsidR="00EC2564">
        <w:t xml:space="preserve">it is hoped that </w:t>
      </w:r>
      <w:r w:rsidR="00152AB3">
        <w:t xml:space="preserve">disabled people will be better equipped at entering the labour market. This project aims at promoting social inclusion as well reducing </w:t>
      </w:r>
      <w:r w:rsidR="00152AB3">
        <w:lastRenderedPageBreak/>
        <w:t xml:space="preserve">vulnerable people’s risk of poverty. Finally, this project will also include the provision of ‘improved social </w:t>
      </w:r>
      <w:proofErr w:type="gramStart"/>
      <w:r w:rsidR="00152AB3">
        <w:t>services’</w:t>
      </w:r>
      <w:proofErr w:type="gramEnd"/>
      <w:r w:rsidR="00152AB3">
        <w:t>. These services include ‘</w:t>
      </w:r>
      <w:r w:rsidR="00152AB3" w:rsidRPr="004606A1">
        <w:t xml:space="preserve">respite, therapeutic treatments, physiotherapy area, gym, pool and other </w:t>
      </w:r>
      <w:proofErr w:type="gramStart"/>
      <w:r w:rsidR="00152AB3" w:rsidRPr="004606A1">
        <w:t>amenities</w:t>
      </w:r>
      <w:r w:rsidR="00152AB3">
        <w:t>’</w:t>
      </w:r>
      <w:proofErr w:type="gramEnd"/>
      <w:r w:rsidR="00152AB3">
        <w:t xml:space="preserve">. </w:t>
      </w:r>
    </w:p>
    <w:p w14:paraId="63042B1C" w14:textId="77777777" w:rsidR="00A4045B" w:rsidRDefault="00A4045B" w:rsidP="00113135">
      <w:pPr>
        <w:autoSpaceDE w:val="0"/>
        <w:autoSpaceDN w:val="0"/>
        <w:adjustRightInd w:val="0"/>
        <w:jc w:val="both"/>
      </w:pPr>
    </w:p>
    <w:p w14:paraId="5570BCFD" w14:textId="76F1D975" w:rsidR="007C572D" w:rsidRPr="00077C2C" w:rsidRDefault="007C572D" w:rsidP="007C572D">
      <w:pPr>
        <w:autoSpaceDE w:val="0"/>
        <w:autoSpaceDN w:val="0"/>
        <w:adjustRightInd w:val="0"/>
        <w:jc w:val="both"/>
        <w:rPr>
          <w:rFonts w:eastAsia="Times New Roman"/>
          <w:b/>
          <w:lang w:eastAsia="en-GB"/>
        </w:rPr>
      </w:pPr>
      <w:r w:rsidRPr="00DA1709">
        <w:rPr>
          <w:rFonts w:eastAsia="Times New Roman"/>
          <w:b/>
          <w:lang w:eastAsia="en-GB"/>
        </w:rPr>
        <w:t>ERDF 08.045</w:t>
      </w:r>
      <w:r w:rsidR="001F5FE1">
        <w:rPr>
          <w:rFonts w:eastAsia="Times New Roman"/>
          <w:b/>
          <w:lang w:eastAsia="en-GB"/>
        </w:rPr>
        <w:t>:</w:t>
      </w:r>
      <w:r w:rsidRPr="00DA1709">
        <w:rPr>
          <w:rFonts w:eastAsia="Times New Roman"/>
          <w:b/>
          <w:lang w:eastAsia="en-GB"/>
        </w:rPr>
        <w:t xml:space="preserve"> The establishment of Assistive Techno</w:t>
      </w:r>
      <w:r w:rsidRPr="00077C2C">
        <w:rPr>
          <w:rFonts w:eastAsia="Times New Roman"/>
          <w:b/>
          <w:lang w:eastAsia="en-GB"/>
        </w:rPr>
        <w:t>logy Centres in Malta and Gozo</w:t>
      </w:r>
      <w:r w:rsidR="00D473D0">
        <w:rPr>
          <w:rStyle w:val="FootnoteReference"/>
          <w:rFonts w:eastAsia="Times New Roman"/>
          <w:b/>
          <w:lang w:eastAsia="en-GB"/>
        </w:rPr>
        <w:footnoteReference w:id="65"/>
      </w:r>
      <w:r w:rsidRPr="00077C2C">
        <w:rPr>
          <w:rFonts w:eastAsia="Times New Roman"/>
          <w:b/>
          <w:lang w:eastAsia="en-GB"/>
        </w:rPr>
        <w:t xml:space="preserve"> </w:t>
      </w:r>
    </w:p>
    <w:p w14:paraId="634CF985" w14:textId="799A59CC" w:rsidR="007C572D" w:rsidRDefault="007C572D" w:rsidP="007C572D">
      <w:pPr>
        <w:autoSpaceDE w:val="0"/>
        <w:autoSpaceDN w:val="0"/>
        <w:adjustRightInd w:val="0"/>
        <w:jc w:val="both"/>
        <w:rPr>
          <w:rFonts w:eastAsia="Times New Roman"/>
          <w:lang w:eastAsia="en-GB"/>
        </w:rPr>
      </w:pPr>
      <w:r w:rsidRPr="007C572D">
        <w:rPr>
          <w:rFonts w:eastAsia="Times New Roman"/>
          <w:lang w:eastAsia="en-GB"/>
        </w:rPr>
        <w:t xml:space="preserve">The Malta Communications Authority (MCA) shall implement a project that bridges the gap between people and the technology they require to realise their full potential. This project </w:t>
      </w:r>
      <w:r w:rsidR="003335B0">
        <w:rPr>
          <w:rFonts w:eastAsia="Times New Roman"/>
          <w:lang w:eastAsia="en-GB"/>
        </w:rPr>
        <w:t>aims to facilitate the integration of disabled people. It also aims at enhancing the independence of people with all kinds of disabilities through Assistive Technology.</w:t>
      </w:r>
      <w:r w:rsidR="00347494">
        <w:rPr>
          <w:rFonts w:eastAsia="Times New Roman"/>
          <w:lang w:eastAsia="en-GB"/>
        </w:rPr>
        <w:t xml:space="preserve"> This project is financed through the ERDF OP1 – Fostering a Competitive and Sustainable</w:t>
      </w:r>
      <w:r w:rsidR="00C90CF3">
        <w:rPr>
          <w:rFonts w:eastAsia="Times New Roman"/>
          <w:lang w:eastAsia="en-GB"/>
        </w:rPr>
        <w:t xml:space="preserve"> Economy to meet our challenges /</w:t>
      </w:r>
      <w:r w:rsidR="00347494">
        <w:rPr>
          <w:rFonts w:eastAsia="Times New Roman"/>
          <w:lang w:eastAsia="en-GB"/>
        </w:rPr>
        <w:t xml:space="preserve"> PA8 – Investing towards a more socially-inclusive society. </w:t>
      </w:r>
    </w:p>
    <w:p w14:paraId="6C9805FA" w14:textId="77777777" w:rsidR="00254033" w:rsidRPr="007C572D" w:rsidRDefault="00254033" w:rsidP="007C572D">
      <w:pPr>
        <w:autoSpaceDE w:val="0"/>
        <w:autoSpaceDN w:val="0"/>
        <w:adjustRightInd w:val="0"/>
        <w:jc w:val="both"/>
        <w:rPr>
          <w:rFonts w:eastAsia="Times New Roman"/>
          <w:lang w:eastAsia="en-GB"/>
        </w:rPr>
      </w:pPr>
    </w:p>
    <w:p w14:paraId="1CD60DB9" w14:textId="77777777" w:rsidR="00A4045B" w:rsidRPr="00003EC0" w:rsidRDefault="00A4045B" w:rsidP="00113135">
      <w:pPr>
        <w:autoSpaceDE w:val="0"/>
        <w:autoSpaceDN w:val="0"/>
        <w:adjustRightInd w:val="0"/>
        <w:jc w:val="both"/>
      </w:pPr>
    </w:p>
    <w:p w14:paraId="34CE8F42" w14:textId="00A64BCD" w:rsidR="001341CA" w:rsidRDefault="0071696A" w:rsidP="00A14357">
      <w:pPr>
        <w:pStyle w:val="Heading1"/>
      </w:pPr>
      <w:bookmarkStart w:id="13" w:name="_Toc2697723"/>
      <w:r>
        <w:lastRenderedPageBreak/>
        <w:t>Statistical annex:</w:t>
      </w:r>
      <w:r w:rsidR="000D320A">
        <w:t xml:space="preserve"> </w:t>
      </w:r>
      <w:r w:rsidR="00873A47">
        <w:t xml:space="preserve">disability </w:t>
      </w:r>
      <w:r>
        <w:t xml:space="preserve">data relevant to </w:t>
      </w:r>
      <w:r w:rsidR="001F1183">
        <w:t>EU</w:t>
      </w:r>
      <w:r w:rsidR="001341CA" w:rsidRPr="001341CA">
        <w:t>2020</w:t>
      </w:r>
      <w:bookmarkEnd w:id="13"/>
    </w:p>
    <w:p w14:paraId="735AA007" w14:textId="77777777" w:rsidR="00AF323E" w:rsidRPr="00AF323E" w:rsidRDefault="00AF323E" w:rsidP="002C6495">
      <w:pPr>
        <w:jc w:val="both"/>
      </w:pPr>
    </w:p>
    <w:p w14:paraId="1860804A" w14:textId="17765D17" w:rsidR="0071696A" w:rsidRDefault="005E1C80" w:rsidP="002C6495">
      <w:pPr>
        <w:pStyle w:val="BodyText"/>
        <w:spacing w:after="0"/>
        <w:jc w:val="both"/>
      </w:pPr>
      <w:bookmarkStart w:id="14" w:name="_Hlk528590324"/>
      <w:r w:rsidRPr="0071696A">
        <w:t xml:space="preserve">Unless specified, the </w:t>
      </w:r>
      <w:r w:rsidR="00092B8F" w:rsidRPr="0071696A">
        <w:t xml:space="preserve">summary </w:t>
      </w:r>
      <w:r w:rsidRPr="0071696A">
        <w:t xml:space="preserve">statistics presented in </w:t>
      </w:r>
      <w:r w:rsidR="00092B8F" w:rsidRPr="0071696A">
        <w:t>this report</w:t>
      </w:r>
      <w:r w:rsidRPr="0071696A">
        <w:t xml:space="preserve"> are draw</w:t>
      </w:r>
      <w:r w:rsidR="00092B8F" w:rsidRPr="0071696A">
        <w:t>n</w:t>
      </w:r>
      <w:r w:rsidRPr="0071696A">
        <w:t xml:space="preserve"> from </w:t>
      </w:r>
      <w:r w:rsidR="004217C2">
        <w:t>the most recent</w:t>
      </w:r>
      <w:r w:rsidR="00226093" w:rsidRPr="0071696A">
        <w:t xml:space="preserve"> </w:t>
      </w:r>
      <w:r w:rsidRPr="0071696A">
        <w:t xml:space="preserve">EU-SILC </w:t>
      </w:r>
      <w:r w:rsidR="00837BCB" w:rsidRPr="0071696A">
        <w:t xml:space="preserve">micro </w:t>
      </w:r>
      <w:r w:rsidRPr="0071696A">
        <w:t>data</w:t>
      </w:r>
      <w:r w:rsidR="00755859">
        <w:t xml:space="preserve"> </w:t>
      </w:r>
      <w:r w:rsidR="0071696A" w:rsidRPr="0071696A">
        <w:t xml:space="preserve">available to </w:t>
      </w:r>
      <w:r w:rsidR="00FD54EA">
        <w:t xml:space="preserve">ANED </w:t>
      </w:r>
      <w:r w:rsidR="0071696A" w:rsidRPr="0071696A">
        <w:t>researchers from Eurostat.</w:t>
      </w:r>
      <w:r w:rsidR="001F1183" w:rsidRPr="001F1183">
        <w:t xml:space="preserve"> </w:t>
      </w:r>
      <w:r w:rsidR="001C5B04">
        <w:t>Where available, e</w:t>
      </w:r>
      <w:r w:rsidR="001F1183">
        <w:t>stimates based on national data sources shou</w:t>
      </w:r>
      <w:r w:rsidR="001C5B04">
        <w:t>ld be compared</w:t>
      </w:r>
      <w:r w:rsidR="001F1183">
        <w:t>.</w:t>
      </w:r>
      <w:r w:rsidR="004217C2">
        <w:t xml:space="preserve"> </w:t>
      </w:r>
      <w:r w:rsidR="00092B8F">
        <w:t xml:space="preserve">The EU-SILC sample includes </w:t>
      </w:r>
      <w:r w:rsidR="00837BCB">
        <w:t>people</w:t>
      </w:r>
      <w:r w:rsidR="00092B8F">
        <w:t xml:space="preserve"> living in </w:t>
      </w:r>
      <w:bookmarkEnd w:id="14"/>
      <w:r w:rsidR="00092B8F">
        <w:t xml:space="preserve">private households and does not include </w:t>
      </w:r>
      <w:r w:rsidR="002E420B">
        <w:t>people</w:t>
      </w:r>
      <w:r w:rsidR="00092B8F">
        <w:t xml:space="preserve"> living in institutions</w:t>
      </w:r>
      <w:r w:rsidR="005441A0">
        <w:t xml:space="preserve"> (congregative households). The sampling methods and responses vary in each country.</w:t>
      </w:r>
    </w:p>
    <w:p w14:paraId="32DE06A9" w14:textId="77777777" w:rsidR="002C6495" w:rsidRDefault="002C6495" w:rsidP="002C6495">
      <w:pPr>
        <w:pStyle w:val="BodyText"/>
        <w:spacing w:after="0"/>
        <w:jc w:val="both"/>
      </w:pPr>
    </w:p>
    <w:p w14:paraId="7A23A6C7" w14:textId="44C21D46" w:rsidR="004217C2" w:rsidRDefault="004217C2" w:rsidP="002C6495">
      <w:pPr>
        <w:jc w:val="both"/>
      </w:pPr>
      <w:r w:rsidRPr="004217C2">
        <w:t>The proxy used to identify people with disabilities (impairments) is whether ‘for at least the past 6 months’ the respondent reports that they have been ‘limited because of a health problem in activities people usually do’.</w:t>
      </w:r>
      <w:r w:rsidRPr="004217C2">
        <w:rPr>
          <w:vertAlign w:val="superscript"/>
        </w:rPr>
        <w:footnoteReference w:id="66"/>
      </w:r>
    </w:p>
    <w:p w14:paraId="0EE0EED1" w14:textId="77777777" w:rsidR="004217C2" w:rsidRPr="004217C2" w:rsidRDefault="004217C2" w:rsidP="004217C2"/>
    <w:p w14:paraId="4A37DA49" w14:textId="1D3FE632" w:rsidR="005E4C81" w:rsidRDefault="005E4C81" w:rsidP="00596EA7">
      <w:pPr>
        <w:pStyle w:val="Caption"/>
        <w:keepNext/>
        <w:keepLines/>
      </w:pPr>
      <w:r>
        <w:t xml:space="preserve">Table </w:t>
      </w:r>
      <w:r w:rsidR="00F01BC2">
        <w:rPr>
          <w:noProof/>
        </w:rPr>
        <w:fldChar w:fldCharType="begin"/>
      </w:r>
      <w:r w:rsidR="00F01BC2">
        <w:rPr>
          <w:noProof/>
        </w:rPr>
        <w:instrText xml:space="preserve"> SEQ Table \* ARABIC </w:instrText>
      </w:r>
      <w:r w:rsidR="00F01BC2">
        <w:rPr>
          <w:noProof/>
        </w:rPr>
        <w:fldChar w:fldCharType="separate"/>
      </w:r>
      <w:r w:rsidR="00FE3D2A">
        <w:rPr>
          <w:noProof/>
        </w:rPr>
        <w:t>2</w:t>
      </w:r>
      <w:r w:rsidR="00F01BC2">
        <w:rPr>
          <w:noProof/>
        </w:rPr>
        <w:fldChar w:fldCharType="end"/>
      </w:r>
      <w:r>
        <w:t xml:space="preserve">: </w:t>
      </w:r>
      <w:r w:rsidR="00597A6F">
        <w:t>Self-reported</w:t>
      </w:r>
      <w:r w:rsidRPr="003A2135">
        <w:t xml:space="preserve"> </w:t>
      </w:r>
      <w:r w:rsidR="00597A6F">
        <w:t>‘</w:t>
      </w:r>
      <w:r w:rsidRPr="003A2135">
        <w:t>activity limitations</w:t>
      </w:r>
      <w:r w:rsidR="00597A6F">
        <w:t>’</w:t>
      </w:r>
      <w:r w:rsidRPr="003A2135">
        <w:t xml:space="preserve"> </w:t>
      </w:r>
      <w:r w:rsidR="00597A6F">
        <w:t xml:space="preserve">as a </w:t>
      </w:r>
      <w:r w:rsidR="004217C2">
        <w:t>proxy for impairment/disability</w:t>
      </w:r>
    </w:p>
    <w:p w14:paraId="3F37E3ED" w14:textId="77777777" w:rsidR="00431571" w:rsidRDefault="00431571" w:rsidP="00431571">
      <w:pPr>
        <w:keepNext/>
        <w:keepLines/>
      </w:pPr>
      <w:r>
        <w:rPr>
          <w:noProof/>
          <w:lang w:eastAsia="zh-CN"/>
        </w:rPr>
        <w:drawing>
          <wp:inline distT="0" distB="0" distL="0" distR="0" wp14:anchorId="3C86A1B3" wp14:editId="13F62107">
            <wp:extent cx="5585988" cy="3422209"/>
            <wp:effectExtent l="0" t="0" r="15240" b="2603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5E2FCDD1" w14:textId="77777777" w:rsidR="00431571" w:rsidRDefault="00431571" w:rsidP="00A14357">
      <w:pPr>
        <w:pStyle w:val="Sourcereference"/>
        <w:keepNext/>
        <w:keepLines/>
        <w:jc w:val="both"/>
        <w:rPr>
          <w:lang w:eastAsia="en-GB"/>
        </w:rPr>
      </w:pPr>
      <w:r w:rsidRPr="00EF3CB6">
        <w:t xml:space="preserve">Source: </w:t>
      </w:r>
      <w:r>
        <w:rPr>
          <w:lang w:eastAsia="en-GB"/>
        </w:rPr>
        <w:t>EU-SILC UDB 2016 – version of March 2018</w:t>
      </w:r>
    </w:p>
    <w:p w14:paraId="6AF7B925" w14:textId="77777777" w:rsidR="00431571" w:rsidRPr="00E24424" w:rsidRDefault="00431571" w:rsidP="00A14357">
      <w:pPr>
        <w:jc w:val="both"/>
        <w:rPr>
          <w:i/>
          <w:iCs/>
          <w:sz w:val="20"/>
          <w:szCs w:val="20"/>
          <w:lang w:eastAsia="en-GB"/>
        </w:rPr>
      </w:pPr>
      <w:r w:rsidRPr="00E24424">
        <w:rPr>
          <w:i/>
          <w:iCs/>
          <w:sz w:val="20"/>
          <w:szCs w:val="20"/>
          <w:lang w:eastAsia="en-GB"/>
        </w:rPr>
        <w:t xml:space="preserve">Note: in </w:t>
      </w:r>
      <w:r>
        <w:rPr>
          <w:i/>
          <w:iCs/>
          <w:sz w:val="20"/>
          <w:szCs w:val="20"/>
          <w:lang w:eastAsia="en-GB"/>
        </w:rPr>
        <w:t>Malta</w:t>
      </w:r>
      <w:r w:rsidRPr="00E24424">
        <w:rPr>
          <w:i/>
          <w:iCs/>
          <w:sz w:val="20"/>
          <w:szCs w:val="20"/>
          <w:lang w:eastAsia="en-GB"/>
        </w:rPr>
        <w:t xml:space="preserve"> comparisons with previous year should </w:t>
      </w:r>
      <w:proofErr w:type="gramStart"/>
      <w:r w:rsidRPr="00E24424">
        <w:rPr>
          <w:i/>
          <w:iCs/>
          <w:sz w:val="20"/>
          <w:szCs w:val="20"/>
          <w:lang w:eastAsia="en-GB"/>
        </w:rPr>
        <w:t>take into account</w:t>
      </w:r>
      <w:proofErr w:type="gramEnd"/>
      <w:r w:rsidRPr="00E24424">
        <w:rPr>
          <w:i/>
          <w:iCs/>
          <w:sz w:val="20"/>
          <w:szCs w:val="20"/>
          <w:lang w:eastAsia="en-GB"/>
        </w:rPr>
        <w:t xml:space="preserve"> a large change in reported disability prevalence between 2015 and 2016. The 2016 data tends to under-report activity limitation in all groups, compared to the EU average.</w:t>
      </w:r>
    </w:p>
    <w:p w14:paraId="71DA13C6" w14:textId="77777777" w:rsidR="003429F0" w:rsidRDefault="003429F0" w:rsidP="00A14357">
      <w:pPr>
        <w:pStyle w:val="Source"/>
        <w:rPr>
          <w:lang w:eastAsia="en-GB"/>
        </w:rPr>
      </w:pPr>
    </w:p>
    <w:p w14:paraId="572F71C0" w14:textId="77777777" w:rsidR="00431571" w:rsidRDefault="00431571" w:rsidP="00A14357">
      <w:pPr>
        <w:pStyle w:val="BodyText"/>
        <w:jc w:val="both"/>
      </w:pPr>
      <w:r w:rsidRPr="00F44CD5">
        <w:t xml:space="preserve">In </w:t>
      </w:r>
      <w:r>
        <w:t xml:space="preserve">subsequent </w:t>
      </w:r>
      <w:r w:rsidRPr="00F44CD5">
        <w:t xml:space="preserve">tables, these data are used to estimate </w:t>
      </w:r>
      <w:r>
        <w:t>‘disability’ equality</w:t>
      </w:r>
      <w:r w:rsidRPr="00F44CD5">
        <w:t xml:space="preserve"> </w:t>
      </w:r>
      <w:r>
        <w:t>gaps and trends for the three</w:t>
      </w:r>
      <w:r w:rsidRPr="00F44CD5">
        <w:t xml:space="preserve"> target </w:t>
      </w:r>
      <w:r>
        <w:t>areas</w:t>
      </w:r>
      <w:r w:rsidRPr="00F44CD5">
        <w:t xml:space="preserve"> </w:t>
      </w:r>
      <w:r>
        <w:t>in</w:t>
      </w:r>
      <w:r w:rsidRPr="00F44CD5">
        <w:t xml:space="preserve"> EU2020 – employment, education and poverty </w:t>
      </w:r>
      <w:r>
        <w:t>reduction – comparing the outcomes for persons who report and do not report ‘limitations’</w:t>
      </w:r>
      <w:r w:rsidRPr="00F44CD5">
        <w:t>.</w:t>
      </w:r>
      <w:r w:rsidRPr="00F44CD5">
        <w:rPr>
          <w:rStyle w:val="FootnoteReference"/>
        </w:rPr>
        <w:footnoteReference w:id="67"/>
      </w:r>
      <w:r>
        <w:t xml:space="preserve"> National estimates are compared with EU28 mean averages.</w:t>
      </w:r>
      <w:r>
        <w:rPr>
          <w:rStyle w:val="FootnoteReference"/>
        </w:rPr>
        <w:footnoteReference w:id="68"/>
      </w:r>
    </w:p>
    <w:p w14:paraId="0E19D749" w14:textId="60D990FB" w:rsidR="00BC5855" w:rsidRDefault="00DE4BC5" w:rsidP="00CD69B8">
      <w:pPr>
        <w:pStyle w:val="Heading2"/>
      </w:pPr>
      <w:bookmarkStart w:id="15" w:name="_Toc2697724"/>
      <w:r>
        <w:lastRenderedPageBreak/>
        <w:t>Disability and e</w:t>
      </w:r>
      <w:r w:rsidR="000D320A">
        <w:t xml:space="preserve">mployment </w:t>
      </w:r>
      <w:r w:rsidR="00D72CA8">
        <w:t>data</w:t>
      </w:r>
      <w:r w:rsidR="001F6793">
        <w:t xml:space="preserve"> from EU-SILC</w:t>
      </w:r>
      <w:bookmarkEnd w:id="15"/>
    </w:p>
    <w:p w14:paraId="159BDCE8" w14:textId="77777777" w:rsidR="002C6495" w:rsidRPr="002C6495" w:rsidRDefault="002C6495" w:rsidP="002C6495"/>
    <w:p w14:paraId="3F2B5509" w14:textId="22348649" w:rsidR="000E7982" w:rsidRDefault="000E7982" w:rsidP="002C6495">
      <w:pPr>
        <w:pStyle w:val="Caption"/>
      </w:pPr>
      <w:r>
        <w:t xml:space="preserve">Table </w:t>
      </w:r>
      <w:r w:rsidR="00F01BC2">
        <w:rPr>
          <w:noProof/>
        </w:rPr>
        <w:fldChar w:fldCharType="begin"/>
      </w:r>
      <w:r w:rsidR="00F01BC2">
        <w:rPr>
          <w:noProof/>
        </w:rPr>
        <w:instrText xml:space="preserve"> SEQ Table \* ARABIC </w:instrText>
      </w:r>
      <w:r w:rsidR="00F01BC2">
        <w:rPr>
          <w:noProof/>
        </w:rPr>
        <w:fldChar w:fldCharType="separate"/>
      </w:r>
      <w:r w:rsidR="00FE3D2A">
        <w:rPr>
          <w:noProof/>
        </w:rPr>
        <w:t>3</w:t>
      </w:r>
      <w:r w:rsidR="00F01BC2">
        <w:rPr>
          <w:noProof/>
        </w:rPr>
        <w:fldChar w:fldCharType="end"/>
      </w:r>
      <w:r>
        <w:rPr>
          <w:noProof/>
        </w:rPr>
        <w:t xml:space="preserve">: </w:t>
      </w:r>
      <w:r w:rsidR="009767E9">
        <w:rPr>
          <w:noProof/>
        </w:rPr>
        <w:t>Employment rates</w:t>
      </w:r>
      <w:r w:rsidR="00BF7749">
        <w:rPr>
          <w:noProof/>
        </w:rPr>
        <w:t>,</w:t>
      </w:r>
      <w:r w:rsidR="009767E9">
        <w:rPr>
          <w:noProof/>
        </w:rPr>
        <w:t xml:space="preserve"> by </w:t>
      </w:r>
      <w:r w:rsidR="00363805">
        <w:rPr>
          <w:noProof/>
        </w:rPr>
        <w:t>disability</w:t>
      </w:r>
      <w:r w:rsidR="009767E9">
        <w:rPr>
          <w:noProof/>
        </w:rPr>
        <w:t xml:space="preserve"> and gender (</w:t>
      </w:r>
      <w:r w:rsidR="00CC497A">
        <w:rPr>
          <w:noProof/>
        </w:rPr>
        <w:t>aged 20-64</w:t>
      </w:r>
      <w:r w:rsidR="009767E9">
        <w:rPr>
          <w:noProof/>
        </w:rPr>
        <w:t>)</w:t>
      </w:r>
    </w:p>
    <w:p w14:paraId="3275D7D7" w14:textId="77777777" w:rsidR="00431571" w:rsidRDefault="00431571" w:rsidP="00431571">
      <w:r>
        <w:rPr>
          <w:noProof/>
          <w:lang w:eastAsia="zh-CN"/>
        </w:rPr>
        <w:drawing>
          <wp:inline distT="0" distB="0" distL="0" distR="0" wp14:anchorId="6DE62CF1" wp14:editId="32571196">
            <wp:extent cx="5585988" cy="2055137"/>
            <wp:effectExtent l="0" t="0" r="15240" b="2159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5365A822" w14:textId="0A70C0B5" w:rsidR="00A70A7E" w:rsidRDefault="00A70A7E" w:rsidP="00363805">
      <w:pPr>
        <w:pStyle w:val="Caption"/>
        <w:keepNext/>
        <w:spacing w:before="120"/>
      </w:pPr>
      <w:r>
        <w:t xml:space="preserve">Table </w:t>
      </w:r>
      <w:r w:rsidR="00F01BC2">
        <w:rPr>
          <w:noProof/>
        </w:rPr>
        <w:fldChar w:fldCharType="begin"/>
      </w:r>
      <w:r w:rsidR="00F01BC2">
        <w:rPr>
          <w:noProof/>
        </w:rPr>
        <w:instrText xml:space="preserve"> SEQ Table \* ARABIC </w:instrText>
      </w:r>
      <w:r w:rsidR="00F01BC2">
        <w:rPr>
          <w:noProof/>
        </w:rPr>
        <w:fldChar w:fldCharType="separate"/>
      </w:r>
      <w:r w:rsidR="00FE3D2A">
        <w:rPr>
          <w:noProof/>
        </w:rPr>
        <w:t>4</w:t>
      </w:r>
      <w:r w:rsidR="00F01BC2">
        <w:rPr>
          <w:noProof/>
        </w:rPr>
        <w:fldChar w:fldCharType="end"/>
      </w:r>
      <w:r>
        <w:t xml:space="preserve">: Employment </w:t>
      </w:r>
      <w:r w:rsidR="00D87A57">
        <w:t>rate</w:t>
      </w:r>
      <w:r w:rsidR="009767E9">
        <w:t>s</w:t>
      </w:r>
      <w:r w:rsidR="00D87A57">
        <w:t xml:space="preserve">, </w:t>
      </w:r>
      <w:r>
        <w:t>by age group</w:t>
      </w:r>
    </w:p>
    <w:p w14:paraId="64C2D5DB" w14:textId="77777777" w:rsidR="00431571" w:rsidRDefault="00431571" w:rsidP="00431571">
      <w:pPr>
        <w:rPr>
          <w:sz w:val="20"/>
          <w:szCs w:val="20"/>
        </w:rPr>
      </w:pPr>
      <w:r>
        <w:rPr>
          <w:noProof/>
          <w:lang w:eastAsia="zh-CN"/>
        </w:rPr>
        <w:drawing>
          <wp:inline distT="0" distB="0" distL="0" distR="0" wp14:anchorId="22ED641B" wp14:editId="08262738">
            <wp:extent cx="5585988" cy="2218099"/>
            <wp:effectExtent l="0" t="0" r="15240" b="10795"/>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21931731" w14:textId="77777777" w:rsidR="00431571" w:rsidRPr="00E24424" w:rsidRDefault="00431571" w:rsidP="00431571">
      <w:pPr>
        <w:rPr>
          <w:i/>
          <w:iCs/>
          <w:sz w:val="20"/>
          <w:szCs w:val="20"/>
        </w:rPr>
      </w:pPr>
      <w:r w:rsidRPr="00E24424">
        <w:rPr>
          <w:i/>
          <w:iCs/>
          <w:sz w:val="20"/>
          <w:szCs w:val="20"/>
        </w:rPr>
        <w:t xml:space="preserve">Note: It is important to exercise caution in analysis </w:t>
      </w:r>
      <w:r>
        <w:rPr>
          <w:i/>
          <w:iCs/>
          <w:sz w:val="20"/>
          <w:szCs w:val="20"/>
        </w:rPr>
        <w:t xml:space="preserve">of the </w:t>
      </w:r>
      <w:r w:rsidRPr="00E24424">
        <w:rPr>
          <w:i/>
          <w:iCs/>
          <w:sz w:val="20"/>
          <w:szCs w:val="20"/>
        </w:rPr>
        <w:t>younge</w:t>
      </w:r>
      <w:r>
        <w:rPr>
          <w:i/>
          <w:iCs/>
          <w:sz w:val="20"/>
          <w:szCs w:val="20"/>
        </w:rPr>
        <w:t>st</w:t>
      </w:r>
      <w:r w:rsidRPr="00E24424">
        <w:rPr>
          <w:i/>
          <w:iCs/>
          <w:sz w:val="20"/>
          <w:szCs w:val="20"/>
        </w:rPr>
        <w:t xml:space="preserve"> </w:t>
      </w:r>
      <w:r>
        <w:rPr>
          <w:i/>
          <w:iCs/>
          <w:sz w:val="20"/>
          <w:szCs w:val="20"/>
        </w:rPr>
        <w:t xml:space="preserve">disability </w:t>
      </w:r>
      <w:r w:rsidRPr="00E24424">
        <w:rPr>
          <w:i/>
          <w:iCs/>
          <w:sz w:val="20"/>
          <w:szCs w:val="20"/>
        </w:rPr>
        <w:t>age group</w:t>
      </w:r>
      <w:r>
        <w:rPr>
          <w:i/>
          <w:iCs/>
          <w:sz w:val="20"/>
          <w:szCs w:val="20"/>
        </w:rPr>
        <w:t xml:space="preserve">s, </w:t>
      </w:r>
      <w:r w:rsidRPr="00E24424">
        <w:rPr>
          <w:i/>
          <w:iCs/>
          <w:sz w:val="20"/>
          <w:szCs w:val="20"/>
        </w:rPr>
        <w:t xml:space="preserve">where the </w:t>
      </w:r>
      <w:r>
        <w:rPr>
          <w:i/>
          <w:iCs/>
          <w:sz w:val="20"/>
          <w:szCs w:val="20"/>
        </w:rPr>
        <w:t>number of observations</w:t>
      </w:r>
      <w:r w:rsidRPr="00E24424">
        <w:rPr>
          <w:i/>
          <w:iCs/>
          <w:sz w:val="20"/>
          <w:szCs w:val="20"/>
        </w:rPr>
        <w:t xml:space="preserve"> is </w:t>
      </w:r>
      <w:r>
        <w:rPr>
          <w:i/>
          <w:iCs/>
          <w:sz w:val="20"/>
          <w:szCs w:val="20"/>
        </w:rPr>
        <w:t>less than 50</w:t>
      </w:r>
      <w:r w:rsidRPr="00E24424">
        <w:rPr>
          <w:i/>
          <w:iCs/>
          <w:sz w:val="20"/>
          <w:szCs w:val="20"/>
        </w:rPr>
        <w:t xml:space="preserve"> </w:t>
      </w:r>
      <w:r>
        <w:rPr>
          <w:i/>
          <w:iCs/>
          <w:sz w:val="20"/>
          <w:szCs w:val="20"/>
        </w:rPr>
        <w:t>in Malta (an average of recent years may be more reliable)</w:t>
      </w:r>
      <w:r w:rsidRPr="00E24424">
        <w:rPr>
          <w:i/>
          <w:iCs/>
          <w:sz w:val="20"/>
          <w:szCs w:val="20"/>
        </w:rPr>
        <w:t>.</w:t>
      </w:r>
    </w:p>
    <w:p w14:paraId="0053BAE2" w14:textId="3A04675F" w:rsidR="00DF1581" w:rsidRDefault="00DF1581" w:rsidP="00363805">
      <w:pPr>
        <w:pStyle w:val="Caption"/>
        <w:keepNext/>
        <w:spacing w:before="120"/>
      </w:pPr>
      <w:bookmarkStart w:id="16" w:name="_Ref520883153"/>
      <w:r>
        <w:lastRenderedPageBreak/>
        <w:t xml:space="preserve">Table </w:t>
      </w:r>
      <w:r w:rsidR="00F01BC2">
        <w:rPr>
          <w:noProof/>
        </w:rPr>
        <w:fldChar w:fldCharType="begin"/>
      </w:r>
      <w:r w:rsidR="00F01BC2">
        <w:rPr>
          <w:noProof/>
        </w:rPr>
        <w:instrText xml:space="preserve"> SEQ Table \* ARABIC </w:instrText>
      </w:r>
      <w:r w:rsidR="00F01BC2">
        <w:rPr>
          <w:noProof/>
        </w:rPr>
        <w:fldChar w:fldCharType="separate"/>
      </w:r>
      <w:r w:rsidR="00FE3D2A">
        <w:rPr>
          <w:noProof/>
        </w:rPr>
        <w:t>5</w:t>
      </w:r>
      <w:r w:rsidR="00F01BC2">
        <w:rPr>
          <w:noProof/>
        </w:rPr>
        <w:fldChar w:fldCharType="end"/>
      </w:r>
      <w:bookmarkEnd w:id="16"/>
      <w:r w:rsidR="00837BCB">
        <w:t xml:space="preserve">: </w:t>
      </w:r>
      <w:r w:rsidR="00D240FA">
        <w:t>T</w:t>
      </w:r>
      <w:r>
        <w:t>rend</w:t>
      </w:r>
      <w:r w:rsidR="00837BCB">
        <w:t>s</w:t>
      </w:r>
      <w:r>
        <w:t xml:space="preserve"> in employment </w:t>
      </w:r>
      <w:r w:rsidR="00837BCB">
        <w:t xml:space="preserve">by disability </w:t>
      </w:r>
      <w:r w:rsidR="00C20007">
        <w:t xml:space="preserve">status </w:t>
      </w:r>
      <w:r w:rsidR="00837BCB">
        <w:t>(</w:t>
      </w:r>
      <w:r w:rsidR="007804E3">
        <w:t>aged 20-64</w:t>
      </w:r>
      <w:r w:rsidR="00837BCB">
        <w:t>)</w:t>
      </w:r>
    </w:p>
    <w:p w14:paraId="4C52A423" w14:textId="77777777" w:rsidR="00431571" w:rsidRDefault="00431571" w:rsidP="00431571">
      <w:r>
        <w:rPr>
          <w:noProof/>
          <w:lang w:eastAsia="zh-CN"/>
        </w:rPr>
        <w:drawing>
          <wp:inline distT="0" distB="0" distL="0" distR="0" wp14:anchorId="6DF36178" wp14:editId="2CEF27A4">
            <wp:extent cx="5486400" cy="2869949"/>
            <wp:effectExtent l="0" t="0" r="19050" b="26035"/>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196FB805" w14:textId="2F8392D0" w:rsidR="00431571" w:rsidRDefault="00431571" w:rsidP="00431571">
      <w:pPr>
        <w:pStyle w:val="Sourcereference"/>
        <w:rPr>
          <w:lang w:eastAsia="en-GB"/>
        </w:rPr>
      </w:pPr>
      <w:r w:rsidRPr="00E024C9">
        <w:t xml:space="preserve">Source: </w:t>
      </w:r>
      <w:r>
        <w:rPr>
          <w:lang w:eastAsia="en-GB"/>
        </w:rPr>
        <w:t>EU-SILC UDB 2016 – version of March 2018</w:t>
      </w:r>
      <w:r w:rsidRPr="00E024C9">
        <w:rPr>
          <w:lang w:eastAsia="en-GB"/>
        </w:rPr>
        <w:t xml:space="preserve"> (and preceding UDBs)</w:t>
      </w:r>
    </w:p>
    <w:p w14:paraId="65A3F8FF" w14:textId="77777777" w:rsidR="002C6495" w:rsidRPr="002C6495" w:rsidRDefault="002C6495" w:rsidP="002C6495">
      <w:pPr>
        <w:pStyle w:val="Sourcereference"/>
        <w:spacing w:after="0"/>
        <w:rPr>
          <w:sz w:val="24"/>
          <w:lang w:eastAsia="en-GB"/>
        </w:rPr>
      </w:pPr>
    </w:p>
    <w:p w14:paraId="2753D343" w14:textId="44CF0469" w:rsidR="00195964" w:rsidRDefault="00561FF5" w:rsidP="00195964">
      <w:pPr>
        <w:pStyle w:val="Heading3"/>
      </w:pPr>
      <w:bookmarkStart w:id="17" w:name="_Toc2697725"/>
      <w:r w:rsidRPr="00AF323E">
        <w:t>Unemployment</w:t>
      </w:r>
      <w:bookmarkEnd w:id="17"/>
    </w:p>
    <w:p w14:paraId="55DC6B55" w14:textId="77777777" w:rsidR="00195964" w:rsidRPr="00195964" w:rsidRDefault="00195964" w:rsidP="00195964"/>
    <w:p w14:paraId="119F0295" w14:textId="411F455B" w:rsidR="001F6CDE" w:rsidRDefault="001F6CDE" w:rsidP="004508F7">
      <w:pPr>
        <w:pStyle w:val="Caption"/>
        <w:keepNext/>
      </w:pPr>
      <w:r>
        <w:t xml:space="preserve">Table </w:t>
      </w:r>
      <w:r w:rsidR="00F01BC2">
        <w:rPr>
          <w:noProof/>
        </w:rPr>
        <w:fldChar w:fldCharType="begin"/>
      </w:r>
      <w:r w:rsidR="00F01BC2">
        <w:rPr>
          <w:noProof/>
        </w:rPr>
        <w:instrText xml:space="preserve"> SEQ Table \* ARABIC </w:instrText>
      </w:r>
      <w:r w:rsidR="00F01BC2">
        <w:rPr>
          <w:noProof/>
        </w:rPr>
        <w:fldChar w:fldCharType="separate"/>
      </w:r>
      <w:r w:rsidR="00FE3D2A">
        <w:rPr>
          <w:noProof/>
        </w:rPr>
        <w:t>6</w:t>
      </w:r>
      <w:r w:rsidR="00F01BC2">
        <w:rPr>
          <w:noProof/>
        </w:rPr>
        <w:fldChar w:fldCharType="end"/>
      </w:r>
      <w:r>
        <w:rPr>
          <w:noProof/>
        </w:rPr>
        <w:t xml:space="preserve">: </w:t>
      </w:r>
      <w:r w:rsidR="004508F7">
        <w:rPr>
          <w:noProof/>
        </w:rPr>
        <w:t>U</w:t>
      </w:r>
      <w:r w:rsidR="00C07F4A">
        <w:rPr>
          <w:noProof/>
        </w:rPr>
        <w:t>n</w:t>
      </w:r>
      <w:r w:rsidRPr="00763664">
        <w:rPr>
          <w:noProof/>
        </w:rPr>
        <w:t xml:space="preserve">employment </w:t>
      </w:r>
      <w:r w:rsidR="004508F7">
        <w:rPr>
          <w:noProof/>
        </w:rPr>
        <w:t>rates by disability and gender (</w:t>
      </w:r>
      <w:r>
        <w:rPr>
          <w:noProof/>
        </w:rPr>
        <w:t>aged 20-64</w:t>
      </w:r>
      <w:r w:rsidR="004508F7">
        <w:rPr>
          <w:noProof/>
        </w:rPr>
        <w:t>)</w:t>
      </w:r>
    </w:p>
    <w:p w14:paraId="54F15C41" w14:textId="77777777" w:rsidR="00431571" w:rsidRDefault="00431571" w:rsidP="00431571">
      <w:r>
        <w:rPr>
          <w:noProof/>
          <w:lang w:eastAsia="zh-CN"/>
        </w:rPr>
        <w:drawing>
          <wp:inline distT="0" distB="0" distL="0" distR="0" wp14:anchorId="4A6D1C1A" wp14:editId="56DC0043">
            <wp:extent cx="5585988" cy="2000816"/>
            <wp:effectExtent l="0" t="0" r="15240" b="19050"/>
            <wp:docPr id="22" name="Chart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0408E562" w14:textId="5A5D13E4" w:rsidR="001F6CDE" w:rsidRDefault="001F6CDE" w:rsidP="00694558">
      <w:pPr>
        <w:pStyle w:val="Caption"/>
        <w:keepNext/>
      </w:pPr>
      <w:r>
        <w:t xml:space="preserve">Table </w:t>
      </w:r>
      <w:r w:rsidR="00F01BC2">
        <w:rPr>
          <w:noProof/>
        </w:rPr>
        <w:fldChar w:fldCharType="begin"/>
      </w:r>
      <w:r w:rsidR="00F01BC2">
        <w:rPr>
          <w:noProof/>
        </w:rPr>
        <w:instrText xml:space="preserve"> SEQ Table \* ARABIC </w:instrText>
      </w:r>
      <w:r w:rsidR="00F01BC2">
        <w:rPr>
          <w:noProof/>
        </w:rPr>
        <w:fldChar w:fldCharType="separate"/>
      </w:r>
      <w:r w:rsidR="00FE3D2A">
        <w:rPr>
          <w:noProof/>
        </w:rPr>
        <w:t>7</w:t>
      </w:r>
      <w:r w:rsidR="00F01BC2">
        <w:rPr>
          <w:noProof/>
        </w:rPr>
        <w:fldChar w:fldCharType="end"/>
      </w:r>
      <w:r>
        <w:t xml:space="preserve">: </w:t>
      </w:r>
      <w:r w:rsidR="00E16FB4">
        <w:t>Une</w:t>
      </w:r>
      <w:r>
        <w:t>mployment rate</w:t>
      </w:r>
      <w:r w:rsidR="00694558">
        <w:t>s</w:t>
      </w:r>
      <w:r>
        <w:t>, by age group</w:t>
      </w:r>
    </w:p>
    <w:p w14:paraId="24D8AFBA" w14:textId="77777777" w:rsidR="00431571" w:rsidRDefault="00431571" w:rsidP="00431571">
      <w:pPr>
        <w:rPr>
          <w:sz w:val="20"/>
          <w:szCs w:val="20"/>
        </w:rPr>
      </w:pPr>
      <w:r>
        <w:rPr>
          <w:noProof/>
          <w:lang w:eastAsia="zh-CN"/>
        </w:rPr>
        <w:drawing>
          <wp:inline distT="0" distB="0" distL="0" distR="0" wp14:anchorId="7759E75F" wp14:editId="2F937BEE">
            <wp:extent cx="5585460" cy="2200275"/>
            <wp:effectExtent l="0" t="0" r="15240" b="9525"/>
            <wp:docPr id="2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54A4A156" w14:textId="480629EF" w:rsidR="00195964" w:rsidRPr="002C6495" w:rsidRDefault="00431571" w:rsidP="002C6495">
      <w:pPr>
        <w:rPr>
          <w:i/>
          <w:iCs/>
          <w:sz w:val="20"/>
          <w:szCs w:val="20"/>
        </w:rPr>
      </w:pPr>
      <w:r w:rsidRPr="00E24424">
        <w:rPr>
          <w:i/>
          <w:iCs/>
          <w:sz w:val="20"/>
          <w:szCs w:val="20"/>
        </w:rPr>
        <w:lastRenderedPageBreak/>
        <w:t xml:space="preserve">Note: It is important to exercise caution in analysis </w:t>
      </w:r>
      <w:r>
        <w:rPr>
          <w:i/>
          <w:iCs/>
          <w:sz w:val="20"/>
          <w:szCs w:val="20"/>
        </w:rPr>
        <w:t xml:space="preserve">of the </w:t>
      </w:r>
      <w:r w:rsidRPr="00E24424">
        <w:rPr>
          <w:i/>
          <w:iCs/>
          <w:sz w:val="20"/>
          <w:szCs w:val="20"/>
        </w:rPr>
        <w:t>younge</w:t>
      </w:r>
      <w:r>
        <w:rPr>
          <w:i/>
          <w:iCs/>
          <w:sz w:val="20"/>
          <w:szCs w:val="20"/>
        </w:rPr>
        <w:t>st</w:t>
      </w:r>
      <w:r w:rsidRPr="00E24424">
        <w:rPr>
          <w:i/>
          <w:iCs/>
          <w:sz w:val="20"/>
          <w:szCs w:val="20"/>
        </w:rPr>
        <w:t xml:space="preserve"> </w:t>
      </w:r>
      <w:r>
        <w:rPr>
          <w:i/>
          <w:iCs/>
          <w:sz w:val="20"/>
          <w:szCs w:val="20"/>
        </w:rPr>
        <w:t xml:space="preserve">disability </w:t>
      </w:r>
      <w:r w:rsidRPr="00E24424">
        <w:rPr>
          <w:i/>
          <w:iCs/>
          <w:sz w:val="20"/>
          <w:szCs w:val="20"/>
        </w:rPr>
        <w:t>age group</w:t>
      </w:r>
      <w:r>
        <w:rPr>
          <w:i/>
          <w:iCs/>
          <w:sz w:val="20"/>
          <w:szCs w:val="20"/>
        </w:rPr>
        <w:t xml:space="preserve">, </w:t>
      </w:r>
      <w:r w:rsidRPr="00E24424">
        <w:rPr>
          <w:i/>
          <w:iCs/>
          <w:sz w:val="20"/>
          <w:szCs w:val="20"/>
        </w:rPr>
        <w:t xml:space="preserve">where the </w:t>
      </w:r>
      <w:r>
        <w:rPr>
          <w:i/>
          <w:iCs/>
          <w:sz w:val="20"/>
          <w:szCs w:val="20"/>
        </w:rPr>
        <w:t>number of observations</w:t>
      </w:r>
      <w:r w:rsidRPr="00E24424">
        <w:rPr>
          <w:i/>
          <w:iCs/>
          <w:sz w:val="20"/>
          <w:szCs w:val="20"/>
        </w:rPr>
        <w:t xml:space="preserve"> is </w:t>
      </w:r>
      <w:r>
        <w:rPr>
          <w:i/>
          <w:iCs/>
          <w:sz w:val="20"/>
          <w:szCs w:val="20"/>
        </w:rPr>
        <w:t>less than 50</w:t>
      </w:r>
      <w:r w:rsidRPr="00E24424">
        <w:rPr>
          <w:i/>
          <w:iCs/>
          <w:sz w:val="20"/>
          <w:szCs w:val="20"/>
        </w:rPr>
        <w:t xml:space="preserve"> </w:t>
      </w:r>
      <w:r>
        <w:rPr>
          <w:i/>
          <w:iCs/>
          <w:sz w:val="20"/>
          <w:szCs w:val="20"/>
        </w:rPr>
        <w:t>in Malta (an average of recent years may be more reliable)</w:t>
      </w:r>
      <w:r w:rsidRPr="00E24424">
        <w:rPr>
          <w:i/>
          <w:iCs/>
          <w:sz w:val="20"/>
          <w:szCs w:val="20"/>
        </w:rPr>
        <w:t>.</w:t>
      </w:r>
    </w:p>
    <w:p w14:paraId="27F35BEF" w14:textId="5D38A62E" w:rsidR="006503F2" w:rsidRDefault="006503F2" w:rsidP="00694558">
      <w:pPr>
        <w:pStyle w:val="Caption"/>
        <w:keepNext/>
      </w:pPr>
      <w:bookmarkStart w:id="18" w:name="_Ref520887905"/>
      <w:r>
        <w:t xml:space="preserve">Table </w:t>
      </w:r>
      <w:r w:rsidR="00F01BC2">
        <w:rPr>
          <w:noProof/>
        </w:rPr>
        <w:fldChar w:fldCharType="begin"/>
      </w:r>
      <w:r w:rsidR="00F01BC2">
        <w:rPr>
          <w:noProof/>
        </w:rPr>
        <w:instrText xml:space="preserve"> SEQ Table \* ARABIC </w:instrText>
      </w:r>
      <w:r w:rsidR="00F01BC2">
        <w:rPr>
          <w:noProof/>
        </w:rPr>
        <w:fldChar w:fldCharType="separate"/>
      </w:r>
      <w:r w:rsidR="00FE3D2A">
        <w:rPr>
          <w:noProof/>
        </w:rPr>
        <w:t>8</w:t>
      </w:r>
      <w:r w:rsidR="00F01BC2">
        <w:rPr>
          <w:noProof/>
        </w:rPr>
        <w:fldChar w:fldCharType="end"/>
      </w:r>
      <w:bookmarkEnd w:id="18"/>
      <w:r>
        <w:t xml:space="preserve">: </w:t>
      </w:r>
      <w:r w:rsidR="002A7F69">
        <w:t>T</w:t>
      </w:r>
      <w:r>
        <w:t xml:space="preserve">rends in unemployment </w:t>
      </w:r>
      <w:r w:rsidR="00694558">
        <w:t xml:space="preserve">rate, by disability status </w:t>
      </w:r>
      <w:r>
        <w:t>(aged 20-64)</w:t>
      </w:r>
    </w:p>
    <w:p w14:paraId="30F9B8D8" w14:textId="77777777" w:rsidR="00431571" w:rsidRDefault="00431571" w:rsidP="00431571">
      <w:r>
        <w:rPr>
          <w:noProof/>
          <w:lang w:eastAsia="zh-CN"/>
        </w:rPr>
        <w:drawing>
          <wp:inline distT="0" distB="0" distL="0" distR="0" wp14:anchorId="490A6085" wp14:editId="2E259EDE">
            <wp:extent cx="5486400" cy="2851842"/>
            <wp:effectExtent l="0" t="0" r="19050" b="24765"/>
            <wp:docPr id="25" name="Chart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77350B96" w14:textId="77777777" w:rsidR="00431571" w:rsidRDefault="00431571" w:rsidP="00431571">
      <w:pPr>
        <w:pStyle w:val="Sourcereference"/>
        <w:rPr>
          <w:lang w:eastAsia="en-GB"/>
        </w:rPr>
      </w:pPr>
      <w:r w:rsidRPr="00E024C9">
        <w:t xml:space="preserve">Source: </w:t>
      </w:r>
      <w:r>
        <w:rPr>
          <w:lang w:eastAsia="en-GB"/>
        </w:rPr>
        <w:t>EU-SILC UDB 2016 – version of March 2018</w:t>
      </w:r>
      <w:r w:rsidRPr="00E024C9">
        <w:rPr>
          <w:lang w:eastAsia="en-GB"/>
        </w:rPr>
        <w:t xml:space="preserve"> (and preceding UDBs)</w:t>
      </w:r>
    </w:p>
    <w:p w14:paraId="4EBBFC31" w14:textId="2A2D53FD" w:rsidR="008A5AB7" w:rsidRDefault="00561FF5" w:rsidP="007C58A6">
      <w:pPr>
        <w:pStyle w:val="Heading3"/>
      </w:pPr>
      <w:bookmarkStart w:id="19" w:name="_Toc2697726"/>
      <w:r>
        <w:t>Economic activity</w:t>
      </w:r>
      <w:bookmarkEnd w:id="19"/>
    </w:p>
    <w:p w14:paraId="27FBC789" w14:textId="77777777" w:rsidR="002C6495" w:rsidRPr="002C6495" w:rsidRDefault="002C6495" w:rsidP="002C6495"/>
    <w:p w14:paraId="0E6919A2" w14:textId="22780EEC" w:rsidR="002E420B" w:rsidRDefault="002E420B" w:rsidP="00694558">
      <w:pPr>
        <w:pStyle w:val="Caption"/>
      </w:pPr>
      <w:r>
        <w:t xml:space="preserve">Table </w:t>
      </w:r>
      <w:r w:rsidR="00F01BC2">
        <w:rPr>
          <w:noProof/>
        </w:rPr>
        <w:fldChar w:fldCharType="begin"/>
      </w:r>
      <w:r w:rsidR="00F01BC2">
        <w:rPr>
          <w:noProof/>
        </w:rPr>
        <w:instrText xml:space="preserve"> SEQ Table \* ARABIC </w:instrText>
      </w:r>
      <w:r w:rsidR="00F01BC2">
        <w:rPr>
          <w:noProof/>
        </w:rPr>
        <w:fldChar w:fldCharType="separate"/>
      </w:r>
      <w:r w:rsidR="00FE3D2A">
        <w:rPr>
          <w:noProof/>
        </w:rPr>
        <w:t>9</w:t>
      </w:r>
      <w:r w:rsidR="00F01BC2">
        <w:rPr>
          <w:noProof/>
        </w:rPr>
        <w:fldChar w:fldCharType="end"/>
      </w:r>
      <w:r>
        <w:rPr>
          <w:noProof/>
        </w:rPr>
        <w:t xml:space="preserve">: </w:t>
      </w:r>
      <w:r w:rsidR="00694558">
        <w:rPr>
          <w:noProof/>
        </w:rPr>
        <w:t>E</w:t>
      </w:r>
      <w:r w:rsidR="00C07F4A">
        <w:rPr>
          <w:noProof/>
        </w:rPr>
        <w:t>conomic activ</w:t>
      </w:r>
      <w:r w:rsidR="00A14357">
        <w:rPr>
          <w:noProof/>
        </w:rPr>
        <w:t>i</w:t>
      </w:r>
      <w:r w:rsidR="00C07F4A">
        <w:rPr>
          <w:noProof/>
        </w:rPr>
        <w:t>ty</w:t>
      </w:r>
      <w:r w:rsidRPr="00763664">
        <w:rPr>
          <w:noProof/>
        </w:rPr>
        <w:t xml:space="preserve"> </w:t>
      </w:r>
      <w:r w:rsidR="00694558">
        <w:rPr>
          <w:noProof/>
        </w:rPr>
        <w:t>rates, by disability and gender (</w:t>
      </w:r>
      <w:r>
        <w:rPr>
          <w:noProof/>
        </w:rPr>
        <w:t>aged 20-64</w:t>
      </w:r>
      <w:r w:rsidR="00694558">
        <w:rPr>
          <w:noProof/>
        </w:rPr>
        <w:t>)</w:t>
      </w:r>
    </w:p>
    <w:p w14:paraId="12B13174" w14:textId="77777777" w:rsidR="00431571" w:rsidRDefault="00431571" w:rsidP="00431571">
      <w:r>
        <w:rPr>
          <w:noProof/>
          <w:lang w:eastAsia="zh-CN"/>
        </w:rPr>
        <w:drawing>
          <wp:inline distT="0" distB="0" distL="0" distR="0" wp14:anchorId="32C2EBE9" wp14:editId="7AE10908">
            <wp:extent cx="5585988" cy="1991763"/>
            <wp:effectExtent l="0" t="0" r="15240" b="27940"/>
            <wp:docPr id="27" name="Chart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1AEEF612" w14:textId="55DF783D" w:rsidR="002E420B" w:rsidRDefault="002E420B" w:rsidP="00431571">
      <w:pPr>
        <w:pStyle w:val="Caption"/>
        <w:keepNext/>
        <w:keepLines/>
      </w:pPr>
      <w:r>
        <w:t xml:space="preserve">Table </w:t>
      </w:r>
      <w:r w:rsidR="00F01BC2">
        <w:rPr>
          <w:noProof/>
        </w:rPr>
        <w:fldChar w:fldCharType="begin"/>
      </w:r>
      <w:r w:rsidR="00F01BC2">
        <w:rPr>
          <w:noProof/>
        </w:rPr>
        <w:instrText xml:space="preserve"> SEQ Table \* ARABIC </w:instrText>
      </w:r>
      <w:r w:rsidR="00F01BC2">
        <w:rPr>
          <w:noProof/>
        </w:rPr>
        <w:fldChar w:fldCharType="separate"/>
      </w:r>
      <w:r w:rsidR="00FE3D2A">
        <w:rPr>
          <w:noProof/>
        </w:rPr>
        <w:t>10</w:t>
      </w:r>
      <w:r w:rsidR="00F01BC2">
        <w:rPr>
          <w:noProof/>
        </w:rPr>
        <w:fldChar w:fldCharType="end"/>
      </w:r>
      <w:r>
        <w:t xml:space="preserve">: </w:t>
      </w:r>
      <w:r w:rsidR="00C07F4A">
        <w:t>Activity</w:t>
      </w:r>
      <w:r>
        <w:t xml:space="preserve"> rate</w:t>
      </w:r>
      <w:r w:rsidR="00694558">
        <w:t>s</w:t>
      </w:r>
      <w:r>
        <w:t>, by age group</w:t>
      </w:r>
    </w:p>
    <w:p w14:paraId="02FAF201" w14:textId="77777777" w:rsidR="00431571" w:rsidRDefault="00431571" w:rsidP="00431571">
      <w:pPr>
        <w:rPr>
          <w:sz w:val="20"/>
          <w:szCs w:val="20"/>
        </w:rPr>
      </w:pPr>
      <w:r>
        <w:rPr>
          <w:noProof/>
          <w:lang w:eastAsia="zh-CN"/>
        </w:rPr>
        <w:drawing>
          <wp:inline distT="0" distB="0" distL="0" distR="0" wp14:anchorId="00A32214" wp14:editId="0D5EFFB5">
            <wp:extent cx="5585988" cy="2199992"/>
            <wp:effectExtent l="0" t="0" r="15240" b="10160"/>
            <wp:docPr id="28" name="Chart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7022C316" w14:textId="77777777" w:rsidR="00431571" w:rsidRDefault="00431571" w:rsidP="00431571">
      <w:pPr>
        <w:rPr>
          <w:i/>
          <w:iCs/>
          <w:sz w:val="20"/>
          <w:szCs w:val="20"/>
        </w:rPr>
      </w:pPr>
      <w:r w:rsidRPr="00E24424">
        <w:rPr>
          <w:i/>
          <w:iCs/>
          <w:sz w:val="20"/>
          <w:szCs w:val="20"/>
        </w:rPr>
        <w:lastRenderedPageBreak/>
        <w:t xml:space="preserve">Note: It is important to exercise caution in analysis </w:t>
      </w:r>
      <w:r>
        <w:rPr>
          <w:i/>
          <w:iCs/>
          <w:sz w:val="20"/>
          <w:szCs w:val="20"/>
        </w:rPr>
        <w:t xml:space="preserve">of the </w:t>
      </w:r>
      <w:r w:rsidRPr="00E24424">
        <w:rPr>
          <w:i/>
          <w:iCs/>
          <w:sz w:val="20"/>
          <w:szCs w:val="20"/>
        </w:rPr>
        <w:t>younge</w:t>
      </w:r>
      <w:r>
        <w:rPr>
          <w:i/>
          <w:iCs/>
          <w:sz w:val="20"/>
          <w:szCs w:val="20"/>
        </w:rPr>
        <w:t>st</w:t>
      </w:r>
      <w:r w:rsidRPr="00E24424">
        <w:rPr>
          <w:i/>
          <w:iCs/>
          <w:sz w:val="20"/>
          <w:szCs w:val="20"/>
        </w:rPr>
        <w:t xml:space="preserve"> </w:t>
      </w:r>
      <w:r>
        <w:rPr>
          <w:i/>
          <w:iCs/>
          <w:sz w:val="20"/>
          <w:szCs w:val="20"/>
        </w:rPr>
        <w:t xml:space="preserve">disability </w:t>
      </w:r>
      <w:r w:rsidRPr="00E24424">
        <w:rPr>
          <w:i/>
          <w:iCs/>
          <w:sz w:val="20"/>
          <w:szCs w:val="20"/>
        </w:rPr>
        <w:t>age group</w:t>
      </w:r>
      <w:r>
        <w:rPr>
          <w:i/>
          <w:iCs/>
          <w:sz w:val="20"/>
          <w:szCs w:val="20"/>
        </w:rPr>
        <w:t xml:space="preserve">, </w:t>
      </w:r>
      <w:r w:rsidRPr="00E24424">
        <w:rPr>
          <w:i/>
          <w:iCs/>
          <w:sz w:val="20"/>
          <w:szCs w:val="20"/>
        </w:rPr>
        <w:t xml:space="preserve">where the </w:t>
      </w:r>
      <w:r>
        <w:rPr>
          <w:i/>
          <w:iCs/>
          <w:sz w:val="20"/>
          <w:szCs w:val="20"/>
        </w:rPr>
        <w:t>number of observations</w:t>
      </w:r>
      <w:r w:rsidRPr="00E24424">
        <w:rPr>
          <w:i/>
          <w:iCs/>
          <w:sz w:val="20"/>
          <w:szCs w:val="20"/>
        </w:rPr>
        <w:t xml:space="preserve"> is </w:t>
      </w:r>
      <w:r>
        <w:rPr>
          <w:i/>
          <w:iCs/>
          <w:sz w:val="20"/>
          <w:szCs w:val="20"/>
        </w:rPr>
        <w:t>less than 50</w:t>
      </w:r>
      <w:r w:rsidRPr="00E24424">
        <w:rPr>
          <w:i/>
          <w:iCs/>
          <w:sz w:val="20"/>
          <w:szCs w:val="20"/>
        </w:rPr>
        <w:t xml:space="preserve"> </w:t>
      </w:r>
      <w:r>
        <w:rPr>
          <w:i/>
          <w:iCs/>
          <w:sz w:val="20"/>
          <w:szCs w:val="20"/>
        </w:rPr>
        <w:t>in Malta (an average of recent years may be more reliable)</w:t>
      </w:r>
      <w:r w:rsidRPr="00E24424">
        <w:rPr>
          <w:i/>
          <w:iCs/>
          <w:sz w:val="20"/>
          <w:szCs w:val="20"/>
        </w:rPr>
        <w:t>.</w:t>
      </w:r>
    </w:p>
    <w:p w14:paraId="0771A42F" w14:textId="77777777" w:rsidR="00431571" w:rsidRPr="00E24424" w:rsidRDefault="00431571" w:rsidP="00431571">
      <w:pPr>
        <w:rPr>
          <w:i/>
          <w:iCs/>
          <w:sz w:val="20"/>
          <w:szCs w:val="20"/>
        </w:rPr>
      </w:pPr>
    </w:p>
    <w:p w14:paraId="53ECBB9A" w14:textId="755529C6" w:rsidR="00834272" w:rsidRDefault="00834272" w:rsidP="00694558">
      <w:pPr>
        <w:pStyle w:val="Caption"/>
        <w:keepNext/>
      </w:pPr>
      <w:bookmarkStart w:id="20" w:name="_Ref528318529"/>
      <w:r>
        <w:t xml:space="preserve">Table </w:t>
      </w:r>
      <w:r w:rsidR="00F01BC2">
        <w:rPr>
          <w:noProof/>
        </w:rPr>
        <w:fldChar w:fldCharType="begin"/>
      </w:r>
      <w:r w:rsidR="00F01BC2">
        <w:rPr>
          <w:noProof/>
        </w:rPr>
        <w:instrText xml:space="preserve"> SEQ Table \* ARABIC </w:instrText>
      </w:r>
      <w:r w:rsidR="00F01BC2">
        <w:rPr>
          <w:noProof/>
        </w:rPr>
        <w:fldChar w:fldCharType="separate"/>
      </w:r>
      <w:r w:rsidR="00FE3D2A">
        <w:rPr>
          <w:noProof/>
        </w:rPr>
        <w:t>11</w:t>
      </w:r>
      <w:r w:rsidR="00F01BC2">
        <w:rPr>
          <w:noProof/>
        </w:rPr>
        <w:fldChar w:fldCharType="end"/>
      </w:r>
      <w:bookmarkEnd w:id="20"/>
      <w:r w:rsidR="00694558">
        <w:t xml:space="preserve">: Trends in activity rates, by </w:t>
      </w:r>
      <w:r>
        <w:t>disability</w:t>
      </w:r>
      <w:r w:rsidR="00694558">
        <w:t xml:space="preserve"> status</w:t>
      </w:r>
      <w:r>
        <w:t xml:space="preserve"> (aged 20-64)</w:t>
      </w:r>
    </w:p>
    <w:p w14:paraId="4CEDBD93" w14:textId="77777777" w:rsidR="00431571" w:rsidRDefault="00431571" w:rsidP="00431571">
      <w:r>
        <w:rPr>
          <w:noProof/>
          <w:lang w:eastAsia="zh-CN"/>
        </w:rPr>
        <w:drawing>
          <wp:inline distT="0" distB="0" distL="0" distR="0" wp14:anchorId="12F29758" wp14:editId="7FA4C9C1">
            <wp:extent cx="5486400" cy="2888055"/>
            <wp:effectExtent l="0" t="0" r="19050" b="26670"/>
            <wp:docPr id="29" name="Chart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578E8E36" w14:textId="2D26D986" w:rsidR="00431571" w:rsidRDefault="00431571" w:rsidP="00431571">
      <w:pPr>
        <w:pStyle w:val="Sourcereference"/>
        <w:rPr>
          <w:lang w:eastAsia="en-GB"/>
        </w:rPr>
      </w:pPr>
      <w:r w:rsidRPr="00E024C9">
        <w:t xml:space="preserve">Source: </w:t>
      </w:r>
      <w:r>
        <w:rPr>
          <w:lang w:eastAsia="en-GB"/>
        </w:rPr>
        <w:t>EU-SILC UDB 2016 – version of March 2018</w:t>
      </w:r>
      <w:r w:rsidRPr="00E024C9">
        <w:rPr>
          <w:lang w:eastAsia="en-GB"/>
        </w:rPr>
        <w:t xml:space="preserve"> (and preceding UDBs)</w:t>
      </w:r>
    </w:p>
    <w:p w14:paraId="4673AEEA" w14:textId="77777777" w:rsidR="002C6495" w:rsidRPr="002C6495" w:rsidRDefault="002C6495" w:rsidP="002C6495">
      <w:pPr>
        <w:pStyle w:val="Sourcereference"/>
        <w:spacing w:after="0"/>
        <w:rPr>
          <w:sz w:val="24"/>
          <w:lang w:eastAsia="en-GB"/>
        </w:rPr>
      </w:pPr>
    </w:p>
    <w:p w14:paraId="6A910B85" w14:textId="77777777" w:rsidR="004217C2" w:rsidRDefault="004217C2" w:rsidP="002C6495">
      <w:pPr>
        <w:pStyle w:val="Heading3"/>
        <w:keepNext w:val="0"/>
        <w:keepLines w:val="0"/>
        <w:ind w:left="0" w:firstLine="0"/>
      </w:pPr>
      <w:bookmarkStart w:id="21" w:name="_Toc2697727"/>
      <w:r>
        <w:t>Alternative sources of national disability employment data</w:t>
      </w:r>
      <w:bookmarkEnd w:id="21"/>
    </w:p>
    <w:p w14:paraId="1ECDCE85" w14:textId="77777777" w:rsidR="003327CE" w:rsidRPr="003327CE" w:rsidRDefault="003327CE" w:rsidP="003327CE"/>
    <w:p w14:paraId="5B37A7E6" w14:textId="43637BF3" w:rsidR="003327CE" w:rsidRPr="00003EC0" w:rsidRDefault="003327CE" w:rsidP="00E87719">
      <w:pPr>
        <w:jc w:val="both"/>
      </w:pPr>
      <w:r w:rsidRPr="008E099D">
        <w:t xml:space="preserve">According to </w:t>
      </w:r>
      <w:r w:rsidR="00E87719">
        <w:t>administrative data</w:t>
      </w:r>
      <w:r w:rsidR="00E87719" w:rsidRPr="008E099D">
        <w:t xml:space="preserve"> </w:t>
      </w:r>
      <w:r w:rsidRPr="008E099D">
        <w:t>published by the National Statistics Office – Malta</w:t>
      </w:r>
      <w:r w:rsidR="00A14357">
        <w:t>,</w:t>
      </w:r>
      <w:r w:rsidR="008E099D" w:rsidRPr="008E099D">
        <w:rPr>
          <w:rStyle w:val="FootnoteReference"/>
        </w:rPr>
        <w:footnoteReference w:id="69"/>
      </w:r>
      <w:r w:rsidR="008E099D">
        <w:t xml:space="preserve"> i</w:t>
      </w:r>
      <w:r w:rsidR="008E099D" w:rsidRPr="00F05A73">
        <w:t>n January 2017, there were 319 persons with disability registering for work, whilst in January 2018 there were 284 persons with disability (78.2% of whom were men) registering for work</w:t>
      </w:r>
      <w:r w:rsidR="008E099D" w:rsidRPr="008E099D">
        <w:t>.</w:t>
      </w:r>
      <w:r w:rsidR="008E099D">
        <w:rPr>
          <w:color w:val="FF0000"/>
        </w:rPr>
        <w:t xml:space="preserve"> </w:t>
      </w:r>
      <w:r w:rsidR="008E099D">
        <w:t>This shows</w:t>
      </w:r>
      <w:r w:rsidRPr="00003EC0">
        <w:t xml:space="preserve"> that the rate of disabled women registering for work is still relatively low when compared to both disabled men and non-disabled women. </w:t>
      </w:r>
    </w:p>
    <w:p w14:paraId="0130FCEC" w14:textId="77777777" w:rsidR="003327CE" w:rsidRPr="00003EC0" w:rsidRDefault="003327CE" w:rsidP="003327CE">
      <w:pPr>
        <w:jc w:val="both"/>
      </w:pPr>
    </w:p>
    <w:p w14:paraId="4F639F75" w14:textId="14601960" w:rsidR="003327CE" w:rsidRPr="00003EC0" w:rsidRDefault="003327CE" w:rsidP="00E87719">
      <w:pPr>
        <w:jc w:val="both"/>
      </w:pPr>
      <w:r w:rsidRPr="00003EC0">
        <w:t xml:space="preserve">The decrease in the rate of unemployment for disabled people </w:t>
      </w:r>
      <w:r w:rsidR="00422431">
        <w:t xml:space="preserve">could be partly </w:t>
      </w:r>
      <w:r w:rsidRPr="00003EC0">
        <w:t xml:space="preserve">due to the enforcement of the 2% quota as enshrined in the Employment (Persons with Disability) Act. However, the </w:t>
      </w:r>
      <w:r w:rsidR="00E87719">
        <w:t>data</w:t>
      </w:r>
      <w:r w:rsidR="00E87719" w:rsidRPr="00003EC0">
        <w:t xml:space="preserve"> </w:t>
      </w:r>
      <w:r w:rsidRPr="00003EC0">
        <w:t xml:space="preserve">do not </w:t>
      </w:r>
      <w:r w:rsidR="00E87719">
        <w:t xml:space="preserve">provide information </w:t>
      </w:r>
      <w:r w:rsidRPr="00003EC0">
        <w:t xml:space="preserve">about the </w:t>
      </w:r>
      <w:r w:rsidR="00E87719">
        <w:t xml:space="preserve">type or </w:t>
      </w:r>
      <w:r w:rsidRPr="00003EC0">
        <w:t>quality of the job found</w:t>
      </w:r>
      <w:r w:rsidR="00E87719">
        <w:t xml:space="preserve"> (</w:t>
      </w:r>
      <w:r w:rsidRPr="00003EC0">
        <w:t>that is, whether the job matches the qualifications and aspirations of the individual, the rate of payment, whether there are opportunities for career progression and whether the employment is on full-time or part-time basis</w:t>
      </w:r>
      <w:r w:rsidR="00E87719">
        <w:t>)</w:t>
      </w:r>
      <w:r w:rsidRPr="00003EC0">
        <w:t xml:space="preserve">. </w:t>
      </w:r>
    </w:p>
    <w:p w14:paraId="3BE92E69" w14:textId="77777777" w:rsidR="003327CE" w:rsidRPr="00003EC0" w:rsidRDefault="003327CE" w:rsidP="003327CE">
      <w:pPr>
        <w:jc w:val="both"/>
      </w:pPr>
    </w:p>
    <w:p w14:paraId="622CE87F" w14:textId="4255593B" w:rsidR="003327CE" w:rsidRPr="008C27C2" w:rsidRDefault="003327CE" w:rsidP="00E87719">
      <w:pPr>
        <w:pStyle w:val="Body"/>
        <w:pBdr>
          <w:top w:val="none" w:sz="0" w:space="0" w:color="auto"/>
          <w:left w:val="none" w:sz="0" w:space="0" w:color="auto"/>
          <w:bottom w:val="none" w:sz="0" w:space="0" w:color="auto"/>
          <w:right w:val="none" w:sz="0" w:space="0" w:color="auto"/>
          <w:bar w:val="none" w:sz="0" w:color="auto"/>
        </w:pBdr>
        <w:spacing w:before="0" w:line="240" w:lineRule="auto"/>
        <w:jc w:val="both"/>
        <w:rPr>
          <w:lang w:val="en-GB"/>
        </w:rPr>
      </w:pPr>
      <w:r w:rsidRPr="00003EC0">
        <w:rPr>
          <w:rFonts w:hAnsi="Arial" w:cs="Arial"/>
          <w:lang w:val="en-GB"/>
        </w:rPr>
        <w:t>The Commission for the Rights of Persons with Disability (CRPD) published data regarding the situation of disabled people in Malta based on the 2011 Census.</w:t>
      </w:r>
      <w:r w:rsidR="00E87719">
        <w:rPr>
          <w:rStyle w:val="FootnoteReference"/>
          <w:rFonts w:hAnsi="Arial" w:cs="Arial"/>
          <w:lang w:val="en-GB"/>
        </w:rPr>
        <w:footnoteReference w:id="70"/>
      </w:r>
      <w:r w:rsidRPr="00003EC0">
        <w:rPr>
          <w:rFonts w:hAnsi="Arial" w:cs="Arial"/>
          <w:lang w:val="en-GB"/>
        </w:rPr>
        <w:t xml:space="preserve"> </w:t>
      </w:r>
      <w:r w:rsidRPr="008C27C2">
        <w:rPr>
          <w:lang w:val="en-GB"/>
        </w:rPr>
        <w:t xml:space="preserve">The table on labour status comparing disabled and non-disabled people shows the following statistics: </w:t>
      </w:r>
    </w:p>
    <w:p w14:paraId="6FE04D6A" w14:textId="77777777" w:rsidR="003327CE" w:rsidRPr="00003EC0" w:rsidRDefault="003327CE" w:rsidP="003327CE">
      <w:pPr>
        <w:jc w:val="both"/>
        <w:rPr>
          <w:b/>
          <w:bCs/>
        </w:rPr>
      </w:pPr>
    </w:p>
    <w:p w14:paraId="1F72BA86" w14:textId="01229636" w:rsidR="003327CE" w:rsidRPr="002C6495" w:rsidRDefault="003327CE" w:rsidP="002C6495">
      <w:pPr>
        <w:jc w:val="both"/>
        <w:rPr>
          <w:rFonts w:eastAsia="Arial Unicode MS"/>
          <w:b/>
          <w:bCs/>
          <w:color w:val="000000"/>
          <w:u w:color="000000"/>
        </w:rPr>
      </w:pPr>
      <w:r w:rsidRPr="00003EC0">
        <w:rPr>
          <w:b/>
          <w:bCs/>
        </w:rPr>
        <w:br w:type="page"/>
      </w:r>
    </w:p>
    <w:p w14:paraId="6D4C4199" w14:textId="3B78FC78" w:rsidR="00E87719" w:rsidRDefault="00E87719" w:rsidP="00E87719">
      <w:pPr>
        <w:pStyle w:val="Caption"/>
        <w:keepNext/>
      </w:pPr>
      <w:r>
        <w:lastRenderedPageBreak/>
        <w:t xml:space="preserve">Table </w:t>
      </w:r>
      <w:r w:rsidR="002C6495">
        <w:rPr>
          <w:noProof/>
        </w:rPr>
        <w:fldChar w:fldCharType="begin"/>
      </w:r>
      <w:r w:rsidR="002C6495">
        <w:rPr>
          <w:noProof/>
        </w:rPr>
        <w:instrText xml:space="preserve"> SEQ Table \* ARABIC </w:instrText>
      </w:r>
      <w:r w:rsidR="002C6495">
        <w:rPr>
          <w:noProof/>
        </w:rPr>
        <w:fldChar w:fldCharType="separate"/>
      </w:r>
      <w:r w:rsidR="00FE3D2A">
        <w:rPr>
          <w:noProof/>
        </w:rPr>
        <w:t>12</w:t>
      </w:r>
      <w:r w:rsidR="002C6495">
        <w:rPr>
          <w:noProof/>
        </w:rPr>
        <w:fldChar w:fldCharType="end"/>
      </w:r>
      <w:r>
        <w:t xml:space="preserve">: </w:t>
      </w:r>
      <w:r w:rsidRPr="00056568">
        <w:t>Labour Status of Disabled and Non-Disabled People (2011 Census)</w:t>
      </w:r>
    </w:p>
    <w:tbl>
      <w:tblPr>
        <w:tblStyle w:val="TableGrid1"/>
        <w:tblW w:w="0" w:type="auto"/>
        <w:tblLook w:val="00A0" w:firstRow="1" w:lastRow="0" w:firstColumn="1" w:lastColumn="0" w:noHBand="0" w:noVBand="0"/>
      </w:tblPr>
      <w:tblGrid>
        <w:gridCol w:w="3575"/>
        <w:gridCol w:w="884"/>
        <w:gridCol w:w="1042"/>
        <w:gridCol w:w="773"/>
        <w:gridCol w:w="1042"/>
        <w:gridCol w:w="884"/>
        <w:gridCol w:w="1042"/>
      </w:tblGrid>
      <w:tr w:rsidR="003327CE" w:rsidRPr="00E87719" w14:paraId="33A493EA" w14:textId="77777777" w:rsidTr="00265A49">
        <w:trPr>
          <w:trHeight w:val="260"/>
        </w:trPr>
        <w:tc>
          <w:tcPr>
            <w:tcW w:w="0" w:type="auto"/>
            <w:vMerge w:val="restart"/>
          </w:tcPr>
          <w:p w14:paraId="0F6A6D44" w14:textId="77777777" w:rsidR="003327CE" w:rsidRPr="00E87719" w:rsidRDefault="003327CE" w:rsidP="00E7110E">
            <w:pPr>
              <w:pStyle w:val="Body"/>
              <w:keepNext/>
              <w:keepLines/>
              <w:pBdr>
                <w:top w:val="none" w:sz="0" w:space="0" w:color="auto"/>
                <w:left w:val="none" w:sz="0" w:space="0" w:color="auto"/>
                <w:bottom w:val="none" w:sz="0" w:space="0" w:color="auto"/>
                <w:right w:val="none" w:sz="0" w:space="0" w:color="auto"/>
                <w:bar w:val="none" w:sz="0" w:color="auto"/>
              </w:pBdr>
              <w:spacing w:before="0"/>
              <w:ind w:left="360"/>
              <w:outlineLvl w:val="5"/>
              <w:rPr>
                <w:rFonts w:hAnsi="Arial" w:cs="Arial"/>
                <w:sz w:val="20"/>
                <w:szCs w:val="20"/>
                <w:lang w:val="en-GB"/>
              </w:rPr>
            </w:pPr>
            <w:r w:rsidRPr="00E87719">
              <w:rPr>
                <w:rFonts w:hAnsi="Arial" w:cs="Arial"/>
                <w:sz w:val="20"/>
                <w:szCs w:val="20"/>
                <w:lang w:val="en-GB"/>
              </w:rPr>
              <w:t> </w:t>
            </w:r>
          </w:p>
        </w:tc>
        <w:tc>
          <w:tcPr>
            <w:tcW w:w="0" w:type="auto"/>
            <w:gridSpan w:val="2"/>
          </w:tcPr>
          <w:p w14:paraId="00EE813B" w14:textId="77777777" w:rsidR="003327CE" w:rsidRPr="00E87719" w:rsidRDefault="003327CE" w:rsidP="00265A49">
            <w:pPr>
              <w:pStyle w:val="Body"/>
              <w:pBdr>
                <w:top w:val="none" w:sz="0" w:space="0" w:color="auto"/>
                <w:left w:val="none" w:sz="0" w:space="0" w:color="auto"/>
                <w:bottom w:val="none" w:sz="0" w:space="0" w:color="auto"/>
                <w:right w:val="none" w:sz="0" w:space="0" w:color="auto"/>
                <w:bar w:val="none" w:sz="0" w:color="auto"/>
              </w:pBdr>
              <w:spacing w:before="0"/>
              <w:jc w:val="center"/>
              <w:rPr>
                <w:rFonts w:hAnsi="Arial" w:cs="Arial"/>
                <w:b/>
                <w:bCs/>
                <w:sz w:val="20"/>
                <w:szCs w:val="20"/>
                <w:lang w:val="en-GB"/>
              </w:rPr>
            </w:pPr>
            <w:r w:rsidRPr="00E87719">
              <w:rPr>
                <w:rFonts w:hAnsi="Arial" w:cs="Arial"/>
                <w:b/>
                <w:bCs/>
                <w:sz w:val="20"/>
                <w:szCs w:val="20"/>
                <w:lang w:val="en-GB"/>
              </w:rPr>
              <w:t>Have no disability</w:t>
            </w:r>
          </w:p>
        </w:tc>
        <w:tc>
          <w:tcPr>
            <w:tcW w:w="0" w:type="auto"/>
            <w:gridSpan w:val="2"/>
          </w:tcPr>
          <w:p w14:paraId="58E05866" w14:textId="77777777" w:rsidR="003327CE" w:rsidRPr="00E87719" w:rsidRDefault="003327CE" w:rsidP="00265A49">
            <w:pPr>
              <w:pStyle w:val="Body"/>
              <w:pBdr>
                <w:top w:val="none" w:sz="0" w:space="0" w:color="auto"/>
                <w:left w:val="none" w:sz="0" w:space="0" w:color="auto"/>
                <w:bottom w:val="none" w:sz="0" w:space="0" w:color="auto"/>
                <w:right w:val="none" w:sz="0" w:space="0" w:color="auto"/>
                <w:bar w:val="none" w:sz="0" w:color="auto"/>
              </w:pBdr>
              <w:spacing w:before="0"/>
              <w:jc w:val="center"/>
              <w:rPr>
                <w:rFonts w:hAnsi="Arial" w:cs="Arial"/>
                <w:b/>
                <w:bCs/>
                <w:sz w:val="20"/>
                <w:szCs w:val="20"/>
                <w:lang w:val="en-GB"/>
              </w:rPr>
            </w:pPr>
            <w:r w:rsidRPr="00E87719">
              <w:rPr>
                <w:rFonts w:hAnsi="Arial" w:cs="Arial"/>
                <w:b/>
                <w:bCs/>
                <w:sz w:val="20"/>
                <w:szCs w:val="20"/>
                <w:lang w:val="en-GB"/>
              </w:rPr>
              <w:t>Have a disability</w:t>
            </w:r>
          </w:p>
        </w:tc>
        <w:tc>
          <w:tcPr>
            <w:tcW w:w="0" w:type="auto"/>
            <w:gridSpan w:val="2"/>
          </w:tcPr>
          <w:p w14:paraId="31AC2217" w14:textId="77777777" w:rsidR="003327CE" w:rsidRPr="00E87719" w:rsidRDefault="003327CE" w:rsidP="00265A49">
            <w:pPr>
              <w:pStyle w:val="Body"/>
              <w:pBdr>
                <w:top w:val="none" w:sz="0" w:space="0" w:color="auto"/>
                <w:left w:val="none" w:sz="0" w:space="0" w:color="auto"/>
                <w:bottom w:val="none" w:sz="0" w:space="0" w:color="auto"/>
                <w:right w:val="none" w:sz="0" w:space="0" w:color="auto"/>
                <w:bar w:val="none" w:sz="0" w:color="auto"/>
              </w:pBdr>
              <w:spacing w:before="0"/>
              <w:jc w:val="center"/>
              <w:rPr>
                <w:rFonts w:hAnsi="Arial" w:cs="Arial"/>
                <w:b/>
                <w:bCs/>
                <w:sz w:val="20"/>
                <w:szCs w:val="20"/>
                <w:lang w:val="en-GB"/>
              </w:rPr>
            </w:pPr>
            <w:r w:rsidRPr="00E87719">
              <w:rPr>
                <w:rFonts w:hAnsi="Arial" w:cs="Arial"/>
                <w:b/>
                <w:bCs/>
                <w:sz w:val="20"/>
                <w:szCs w:val="20"/>
                <w:lang w:val="en-GB"/>
              </w:rPr>
              <w:t>Total</w:t>
            </w:r>
          </w:p>
        </w:tc>
      </w:tr>
      <w:tr w:rsidR="003327CE" w:rsidRPr="00E87719" w14:paraId="71A87332" w14:textId="77777777" w:rsidTr="00265A49">
        <w:trPr>
          <w:trHeight w:val="414"/>
        </w:trPr>
        <w:tc>
          <w:tcPr>
            <w:tcW w:w="0" w:type="auto"/>
            <w:vMerge/>
          </w:tcPr>
          <w:p w14:paraId="4BCB3D64" w14:textId="77777777" w:rsidR="003327CE" w:rsidRPr="00E87719" w:rsidRDefault="003327CE" w:rsidP="00E7110E">
            <w:pPr>
              <w:rPr>
                <w:sz w:val="20"/>
                <w:szCs w:val="20"/>
              </w:rPr>
            </w:pPr>
          </w:p>
        </w:tc>
        <w:tc>
          <w:tcPr>
            <w:tcW w:w="0" w:type="auto"/>
          </w:tcPr>
          <w:p w14:paraId="4EFF06CF" w14:textId="77777777" w:rsidR="003327CE" w:rsidRPr="00E87719" w:rsidRDefault="003327CE" w:rsidP="00265A49">
            <w:pPr>
              <w:pStyle w:val="Body"/>
              <w:pBdr>
                <w:top w:val="none" w:sz="0" w:space="0" w:color="auto"/>
                <w:left w:val="none" w:sz="0" w:space="0" w:color="auto"/>
                <w:bottom w:val="none" w:sz="0" w:space="0" w:color="auto"/>
                <w:right w:val="none" w:sz="0" w:space="0" w:color="auto"/>
                <w:bar w:val="none" w:sz="0" w:color="auto"/>
              </w:pBdr>
              <w:spacing w:before="0"/>
              <w:jc w:val="center"/>
              <w:rPr>
                <w:rFonts w:hAnsi="Arial" w:cs="Arial"/>
                <w:sz w:val="20"/>
                <w:szCs w:val="20"/>
                <w:lang w:val="en-GB"/>
              </w:rPr>
            </w:pPr>
            <w:r w:rsidRPr="00E87719">
              <w:rPr>
                <w:rFonts w:hAnsi="Arial" w:cs="Arial"/>
                <w:sz w:val="20"/>
                <w:szCs w:val="20"/>
                <w:lang w:val="en-GB"/>
              </w:rPr>
              <w:t>Count</w:t>
            </w:r>
          </w:p>
        </w:tc>
        <w:tc>
          <w:tcPr>
            <w:tcW w:w="0" w:type="auto"/>
          </w:tcPr>
          <w:p w14:paraId="28B5191A" w14:textId="77777777" w:rsidR="003327CE" w:rsidRPr="00E87719" w:rsidRDefault="003327CE" w:rsidP="00265A49">
            <w:pPr>
              <w:pStyle w:val="Body"/>
              <w:pBdr>
                <w:top w:val="none" w:sz="0" w:space="0" w:color="auto"/>
                <w:left w:val="none" w:sz="0" w:space="0" w:color="auto"/>
                <w:bottom w:val="none" w:sz="0" w:space="0" w:color="auto"/>
                <w:right w:val="none" w:sz="0" w:space="0" w:color="auto"/>
                <w:bar w:val="none" w:sz="0" w:color="auto"/>
              </w:pBdr>
              <w:spacing w:before="0"/>
              <w:jc w:val="center"/>
              <w:rPr>
                <w:rFonts w:hAnsi="Arial" w:cs="Arial"/>
                <w:sz w:val="20"/>
                <w:szCs w:val="20"/>
                <w:lang w:val="en-GB"/>
              </w:rPr>
            </w:pPr>
            <w:r w:rsidRPr="00E87719">
              <w:rPr>
                <w:rFonts w:hAnsi="Arial" w:cs="Arial"/>
                <w:sz w:val="20"/>
                <w:szCs w:val="20"/>
                <w:lang w:val="en-GB"/>
              </w:rPr>
              <w:t>Column %</w:t>
            </w:r>
          </w:p>
        </w:tc>
        <w:tc>
          <w:tcPr>
            <w:tcW w:w="0" w:type="auto"/>
          </w:tcPr>
          <w:p w14:paraId="4690D57C" w14:textId="77777777" w:rsidR="003327CE" w:rsidRPr="00E87719" w:rsidRDefault="003327CE" w:rsidP="00265A49">
            <w:pPr>
              <w:pStyle w:val="Body"/>
              <w:pBdr>
                <w:top w:val="none" w:sz="0" w:space="0" w:color="auto"/>
                <w:left w:val="none" w:sz="0" w:space="0" w:color="auto"/>
                <w:bottom w:val="none" w:sz="0" w:space="0" w:color="auto"/>
                <w:right w:val="none" w:sz="0" w:space="0" w:color="auto"/>
                <w:bar w:val="none" w:sz="0" w:color="auto"/>
              </w:pBdr>
              <w:spacing w:before="0"/>
              <w:jc w:val="center"/>
              <w:rPr>
                <w:rFonts w:hAnsi="Arial" w:cs="Arial"/>
                <w:sz w:val="20"/>
                <w:szCs w:val="20"/>
                <w:lang w:val="en-GB"/>
              </w:rPr>
            </w:pPr>
            <w:r w:rsidRPr="00E87719">
              <w:rPr>
                <w:rFonts w:hAnsi="Arial" w:cs="Arial"/>
                <w:sz w:val="20"/>
                <w:szCs w:val="20"/>
                <w:lang w:val="en-GB"/>
              </w:rPr>
              <w:t>Count</w:t>
            </w:r>
          </w:p>
        </w:tc>
        <w:tc>
          <w:tcPr>
            <w:tcW w:w="0" w:type="auto"/>
          </w:tcPr>
          <w:p w14:paraId="3D5AC41F" w14:textId="77777777" w:rsidR="003327CE" w:rsidRPr="00E87719" w:rsidRDefault="003327CE" w:rsidP="00265A49">
            <w:pPr>
              <w:pStyle w:val="Body"/>
              <w:pBdr>
                <w:top w:val="none" w:sz="0" w:space="0" w:color="auto"/>
                <w:left w:val="none" w:sz="0" w:space="0" w:color="auto"/>
                <w:bottom w:val="none" w:sz="0" w:space="0" w:color="auto"/>
                <w:right w:val="none" w:sz="0" w:space="0" w:color="auto"/>
                <w:bar w:val="none" w:sz="0" w:color="auto"/>
              </w:pBdr>
              <w:spacing w:before="0"/>
              <w:jc w:val="center"/>
              <w:rPr>
                <w:rFonts w:hAnsi="Arial" w:cs="Arial"/>
                <w:sz w:val="20"/>
                <w:szCs w:val="20"/>
                <w:lang w:val="en-GB"/>
              </w:rPr>
            </w:pPr>
            <w:r w:rsidRPr="00E87719">
              <w:rPr>
                <w:rFonts w:hAnsi="Arial" w:cs="Arial"/>
                <w:sz w:val="20"/>
                <w:szCs w:val="20"/>
                <w:lang w:val="en-GB"/>
              </w:rPr>
              <w:t>Column %</w:t>
            </w:r>
          </w:p>
        </w:tc>
        <w:tc>
          <w:tcPr>
            <w:tcW w:w="0" w:type="auto"/>
          </w:tcPr>
          <w:p w14:paraId="5E22BD70" w14:textId="77777777" w:rsidR="003327CE" w:rsidRPr="00E87719" w:rsidRDefault="003327CE" w:rsidP="00265A49">
            <w:pPr>
              <w:pStyle w:val="Body"/>
              <w:pBdr>
                <w:top w:val="none" w:sz="0" w:space="0" w:color="auto"/>
                <w:left w:val="none" w:sz="0" w:space="0" w:color="auto"/>
                <w:bottom w:val="none" w:sz="0" w:space="0" w:color="auto"/>
                <w:right w:val="none" w:sz="0" w:space="0" w:color="auto"/>
                <w:bar w:val="none" w:sz="0" w:color="auto"/>
              </w:pBdr>
              <w:spacing w:before="0"/>
              <w:jc w:val="center"/>
              <w:rPr>
                <w:rFonts w:hAnsi="Arial" w:cs="Arial"/>
                <w:sz w:val="20"/>
                <w:szCs w:val="20"/>
                <w:lang w:val="en-GB"/>
              </w:rPr>
            </w:pPr>
            <w:r w:rsidRPr="00E87719">
              <w:rPr>
                <w:rFonts w:hAnsi="Arial" w:cs="Arial"/>
                <w:sz w:val="20"/>
                <w:szCs w:val="20"/>
                <w:lang w:val="en-GB"/>
              </w:rPr>
              <w:t>Count</w:t>
            </w:r>
          </w:p>
        </w:tc>
        <w:tc>
          <w:tcPr>
            <w:tcW w:w="0" w:type="auto"/>
          </w:tcPr>
          <w:p w14:paraId="75CA6C44" w14:textId="77777777" w:rsidR="003327CE" w:rsidRPr="00E87719" w:rsidRDefault="003327CE" w:rsidP="00265A49">
            <w:pPr>
              <w:pStyle w:val="Body"/>
              <w:pBdr>
                <w:top w:val="none" w:sz="0" w:space="0" w:color="auto"/>
                <w:left w:val="none" w:sz="0" w:space="0" w:color="auto"/>
                <w:bottom w:val="none" w:sz="0" w:space="0" w:color="auto"/>
                <w:right w:val="none" w:sz="0" w:space="0" w:color="auto"/>
                <w:bar w:val="none" w:sz="0" w:color="auto"/>
              </w:pBdr>
              <w:spacing w:before="0"/>
              <w:jc w:val="center"/>
              <w:rPr>
                <w:rFonts w:hAnsi="Arial" w:cs="Arial"/>
                <w:sz w:val="20"/>
                <w:szCs w:val="20"/>
                <w:lang w:val="en-GB"/>
              </w:rPr>
            </w:pPr>
            <w:r w:rsidRPr="00E87719">
              <w:rPr>
                <w:rFonts w:hAnsi="Arial" w:cs="Arial"/>
                <w:sz w:val="20"/>
                <w:szCs w:val="20"/>
                <w:lang w:val="en-GB"/>
              </w:rPr>
              <w:t>Column %</w:t>
            </w:r>
          </w:p>
        </w:tc>
      </w:tr>
      <w:tr w:rsidR="003327CE" w:rsidRPr="00E87719" w14:paraId="3E25B64C" w14:textId="77777777" w:rsidTr="00265A49">
        <w:trPr>
          <w:trHeight w:val="209"/>
        </w:trPr>
        <w:tc>
          <w:tcPr>
            <w:tcW w:w="0" w:type="auto"/>
          </w:tcPr>
          <w:p w14:paraId="6658472A" w14:textId="77777777" w:rsidR="003327CE" w:rsidRPr="00E87719" w:rsidRDefault="003327CE" w:rsidP="00E7110E">
            <w:pPr>
              <w:pStyle w:val="Body"/>
              <w:pBdr>
                <w:top w:val="none" w:sz="0" w:space="0" w:color="auto"/>
                <w:left w:val="none" w:sz="0" w:space="0" w:color="auto"/>
                <w:bottom w:val="none" w:sz="0" w:space="0" w:color="auto"/>
                <w:right w:val="none" w:sz="0" w:space="0" w:color="auto"/>
                <w:bar w:val="none" w:sz="0" w:color="auto"/>
              </w:pBdr>
              <w:spacing w:before="0"/>
              <w:rPr>
                <w:rFonts w:hAnsi="Arial" w:cs="Arial"/>
                <w:sz w:val="20"/>
                <w:szCs w:val="20"/>
                <w:lang w:val="en-GB"/>
              </w:rPr>
            </w:pPr>
            <w:r w:rsidRPr="00E87719">
              <w:rPr>
                <w:rFonts w:hAnsi="Arial" w:cs="Arial"/>
                <w:sz w:val="20"/>
                <w:szCs w:val="20"/>
                <w:lang w:val="en-GB"/>
              </w:rPr>
              <w:t>Employed</w:t>
            </w:r>
          </w:p>
        </w:tc>
        <w:tc>
          <w:tcPr>
            <w:tcW w:w="0" w:type="auto"/>
          </w:tcPr>
          <w:p w14:paraId="63AEF5CA" w14:textId="77777777" w:rsidR="003327CE" w:rsidRPr="00E87719" w:rsidRDefault="003327CE" w:rsidP="00E87719">
            <w:pPr>
              <w:pStyle w:val="Body"/>
              <w:pBdr>
                <w:top w:val="none" w:sz="0" w:space="0" w:color="auto"/>
                <w:left w:val="none" w:sz="0" w:space="0" w:color="auto"/>
                <w:bottom w:val="none" w:sz="0" w:space="0" w:color="auto"/>
                <w:right w:val="none" w:sz="0" w:space="0" w:color="auto"/>
                <w:bar w:val="none" w:sz="0" w:color="auto"/>
              </w:pBdr>
              <w:spacing w:before="0"/>
              <w:jc w:val="right"/>
              <w:rPr>
                <w:rFonts w:hAnsi="Arial" w:cs="Arial"/>
                <w:b/>
                <w:bCs/>
                <w:iCs/>
                <w:sz w:val="20"/>
                <w:szCs w:val="20"/>
                <w:lang w:val="en-GB"/>
              </w:rPr>
            </w:pPr>
            <w:r w:rsidRPr="00E87719">
              <w:rPr>
                <w:rFonts w:hAnsi="Arial" w:cs="Arial"/>
                <w:sz w:val="20"/>
                <w:szCs w:val="20"/>
                <w:lang w:val="en-GB"/>
              </w:rPr>
              <w:t>167276</w:t>
            </w:r>
          </w:p>
        </w:tc>
        <w:tc>
          <w:tcPr>
            <w:tcW w:w="0" w:type="auto"/>
          </w:tcPr>
          <w:p w14:paraId="4A1836ED" w14:textId="77777777" w:rsidR="003327CE" w:rsidRPr="00E87719" w:rsidRDefault="003327CE" w:rsidP="00E87719">
            <w:pPr>
              <w:pStyle w:val="Body"/>
              <w:pBdr>
                <w:top w:val="none" w:sz="0" w:space="0" w:color="auto"/>
                <w:left w:val="none" w:sz="0" w:space="0" w:color="auto"/>
                <w:bottom w:val="none" w:sz="0" w:space="0" w:color="auto"/>
                <w:right w:val="none" w:sz="0" w:space="0" w:color="auto"/>
                <w:bar w:val="none" w:sz="0" w:color="auto"/>
              </w:pBdr>
              <w:spacing w:before="0"/>
              <w:jc w:val="right"/>
              <w:rPr>
                <w:rFonts w:hAnsi="Arial" w:cs="Arial"/>
                <w:b/>
                <w:bCs/>
                <w:iCs/>
                <w:sz w:val="20"/>
                <w:szCs w:val="20"/>
                <w:lang w:val="en-GB"/>
              </w:rPr>
            </w:pPr>
            <w:r w:rsidRPr="00E87719">
              <w:rPr>
                <w:rFonts w:hAnsi="Arial" w:cs="Arial"/>
                <w:sz w:val="20"/>
                <w:szCs w:val="20"/>
                <w:lang w:val="en-GB"/>
              </w:rPr>
              <w:t>51.0</w:t>
            </w:r>
          </w:p>
        </w:tc>
        <w:tc>
          <w:tcPr>
            <w:tcW w:w="0" w:type="auto"/>
          </w:tcPr>
          <w:p w14:paraId="1DFFF532" w14:textId="77777777" w:rsidR="003327CE" w:rsidRPr="00E87719" w:rsidRDefault="003327CE" w:rsidP="00E87719">
            <w:pPr>
              <w:pStyle w:val="Body"/>
              <w:pBdr>
                <w:top w:val="none" w:sz="0" w:space="0" w:color="auto"/>
                <w:left w:val="none" w:sz="0" w:space="0" w:color="auto"/>
                <w:bottom w:val="none" w:sz="0" w:space="0" w:color="auto"/>
                <w:right w:val="none" w:sz="0" w:space="0" w:color="auto"/>
                <w:bar w:val="none" w:sz="0" w:color="auto"/>
              </w:pBdr>
              <w:spacing w:before="0"/>
              <w:jc w:val="right"/>
              <w:rPr>
                <w:rFonts w:hAnsi="Arial" w:cs="Arial"/>
                <w:b/>
                <w:bCs/>
                <w:iCs/>
                <w:sz w:val="20"/>
                <w:szCs w:val="20"/>
                <w:lang w:val="en-GB"/>
              </w:rPr>
            </w:pPr>
            <w:r w:rsidRPr="00E87719">
              <w:rPr>
                <w:rFonts w:hAnsi="Arial" w:cs="Arial"/>
                <w:sz w:val="20"/>
                <w:szCs w:val="20"/>
                <w:lang w:val="en-GB"/>
              </w:rPr>
              <w:t>4579</w:t>
            </w:r>
          </w:p>
        </w:tc>
        <w:tc>
          <w:tcPr>
            <w:tcW w:w="0" w:type="auto"/>
          </w:tcPr>
          <w:p w14:paraId="7F6E437F" w14:textId="77777777" w:rsidR="003327CE" w:rsidRPr="00E87719" w:rsidRDefault="003327CE" w:rsidP="00E87719">
            <w:pPr>
              <w:pStyle w:val="Body"/>
              <w:pBdr>
                <w:top w:val="none" w:sz="0" w:space="0" w:color="auto"/>
                <w:left w:val="none" w:sz="0" w:space="0" w:color="auto"/>
                <w:bottom w:val="none" w:sz="0" w:space="0" w:color="auto"/>
                <w:right w:val="none" w:sz="0" w:space="0" w:color="auto"/>
                <w:bar w:val="none" w:sz="0" w:color="auto"/>
              </w:pBdr>
              <w:spacing w:before="0"/>
              <w:jc w:val="right"/>
              <w:rPr>
                <w:rFonts w:hAnsi="Arial" w:cs="Arial"/>
                <w:b/>
                <w:bCs/>
                <w:iCs/>
                <w:sz w:val="20"/>
                <w:szCs w:val="20"/>
                <w:lang w:val="en-GB"/>
              </w:rPr>
            </w:pPr>
            <w:r w:rsidRPr="00E87719">
              <w:rPr>
                <w:rFonts w:hAnsi="Arial" w:cs="Arial"/>
                <w:sz w:val="20"/>
                <w:szCs w:val="20"/>
                <w:lang w:val="en-GB"/>
              </w:rPr>
              <w:t>16.5</w:t>
            </w:r>
          </w:p>
        </w:tc>
        <w:tc>
          <w:tcPr>
            <w:tcW w:w="0" w:type="auto"/>
          </w:tcPr>
          <w:p w14:paraId="44205227" w14:textId="77777777" w:rsidR="003327CE" w:rsidRPr="00E87719" w:rsidRDefault="003327CE" w:rsidP="00E87719">
            <w:pPr>
              <w:pStyle w:val="Body"/>
              <w:pBdr>
                <w:top w:val="none" w:sz="0" w:space="0" w:color="auto"/>
                <w:left w:val="none" w:sz="0" w:space="0" w:color="auto"/>
                <w:bottom w:val="none" w:sz="0" w:space="0" w:color="auto"/>
                <w:right w:val="none" w:sz="0" w:space="0" w:color="auto"/>
                <w:bar w:val="none" w:sz="0" w:color="auto"/>
              </w:pBdr>
              <w:spacing w:before="0"/>
              <w:jc w:val="right"/>
              <w:rPr>
                <w:rFonts w:hAnsi="Arial" w:cs="Arial"/>
                <w:b/>
                <w:bCs/>
                <w:iCs/>
                <w:sz w:val="20"/>
                <w:szCs w:val="20"/>
                <w:lang w:val="en-GB"/>
              </w:rPr>
            </w:pPr>
            <w:r w:rsidRPr="00E87719">
              <w:rPr>
                <w:rFonts w:hAnsi="Arial" w:cs="Arial"/>
                <w:sz w:val="20"/>
                <w:szCs w:val="20"/>
                <w:lang w:val="en-GB"/>
              </w:rPr>
              <w:t>171855</w:t>
            </w:r>
          </w:p>
        </w:tc>
        <w:tc>
          <w:tcPr>
            <w:tcW w:w="0" w:type="auto"/>
          </w:tcPr>
          <w:p w14:paraId="26FC751E" w14:textId="77777777" w:rsidR="003327CE" w:rsidRPr="00E87719" w:rsidRDefault="003327CE" w:rsidP="00E87719">
            <w:pPr>
              <w:pStyle w:val="Body"/>
              <w:pBdr>
                <w:top w:val="none" w:sz="0" w:space="0" w:color="auto"/>
                <w:left w:val="none" w:sz="0" w:space="0" w:color="auto"/>
                <w:bottom w:val="none" w:sz="0" w:space="0" w:color="auto"/>
                <w:right w:val="none" w:sz="0" w:space="0" w:color="auto"/>
                <w:bar w:val="none" w:sz="0" w:color="auto"/>
              </w:pBdr>
              <w:spacing w:before="0"/>
              <w:jc w:val="right"/>
              <w:rPr>
                <w:rFonts w:hAnsi="Arial" w:cs="Arial"/>
                <w:b/>
                <w:bCs/>
                <w:iCs/>
                <w:sz w:val="20"/>
                <w:szCs w:val="20"/>
                <w:lang w:val="en-GB"/>
              </w:rPr>
            </w:pPr>
            <w:r w:rsidRPr="00E87719">
              <w:rPr>
                <w:rFonts w:hAnsi="Arial" w:cs="Arial"/>
                <w:sz w:val="20"/>
                <w:szCs w:val="20"/>
                <w:lang w:val="en-GB"/>
              </w:rPr>
              <w:t>48.3</w:t>
            </w:r>
          </w:p>
        </w:tc>
      </w:tr>
      <w:tr w:rsidR="003327CE" w:rsidRPr="00E87719" w14:paraId="0C416D49" w14:textId="77777777" w:rsidTr="00265A49">
        <w:trPr>
          <w:trHeight w:val="465"/>
        </w:trPr>
        <w:tc>
          <w:tcPr>
            <w:tcW w:w="0" w:type="auto"/>
          </w:tcPr>
          <w:p w14:paraId="47CF5681" w14:textId="77777777" w:rsidR="003327CE" w:rsidRPr="00E87719" w:rsidRDefault="003327CE" w:rsidP="00E7110E">
            <w:pPr>
              <w:pStyle w:val="Body"/>
              <w:pBdr>
                <w:top w:val="none" w:sz="0" w:space="0" w:color="auto"/>
                <w:left w:val="none" w:sz="0" w:space="0" w:color="auto"/>
                <w:bottom w:val="none" w:sz="0" w:space="0" w:color="auto"/>
                <w:right w:val="none" w:sz="0" w:space="0" w:color="auto"/>
                <w:bar w:val="none" w:sz="0" w:color="auto"/>
              </w:pBdr>
              <w:spacing w:before="0"/>
              <w:rPr>
                <w:rFonts w:hAnsi="Arial" w:cs="Arial"/>
                <w:sz w:val="20"/>
                <w:szCs w:val="20"/>
                <w:lang w:val="en-GB"/>
              </w:rPr>
            </w:pPr>
            <w:r w:rsidRPr="00E87719">
              <w:rPr>
                <w:rFonts w:hAnsi="Arial" w:cs="Arial"/>
                <w:sz w:val="20"/>
                <w:szCs w:val="20"/>
                <w:lang w:val="en-GB"/>
              </w:rPr>
              <w:t>Unemployed</w:t>
            </w:r>
          </w:p>
        </w:tc>
        <w:tc>
          <w:tcPr>
            <w:tcW w:w="0" w:type="auto"/>
          </w:tcPr>
          <w:p w14:paraId="783664FB" w14:textId="77777777" w:rsidR="003327CE" w:rsidRPr="00E87719" w:rsidRDefault="003327CE" w:rsidP="00E87719">
            <w:pPr>
              <w:pStyle w:val="Body"/>
              <w:pBdr>
                <w:top w:val="none" w:sz="0" w:space="0" w:color="auto"/>
                <w:left w:val="none" w:sz="0" w:space="0" w:color="auto"/>
                <w:bottom w:val="none" w:sz="0" w:space="0" w:color="auto"/>
                <w:right w:val="none" w:sz="0" w:space="0" w:color="auto"/>
                <w:bar w:val="none" w:sz="0" w:color="auto"/>
              </w:pBdr>
              <w:spacing w:before="0"/>
              <w:jc w:val="right"/>
              <w:rPr>
                <w:rFonts w:hAnsi="Arial" w:cs="Arial"/>
                <w:b/>
                <w:bCs/>
                <w:iCs/>
                <w:sz w:val="20"/>
                <w:szCs w:val="20"/>
                <w:lang w:val="en-GB"/>
              </w:rPr>
            </w:pPr>
            <w:r w:rsidRPr="00E87719">
              <w:rPr>
                <w:rFonts w:hAnsi="Arial" w:cs="Arial"/>
                <w:sz w:val="20"/>
                <w:szCs w:val="20"/>
                <w:lang w:val="en-GB"/>
              </w:rPr>
              <w:t>12661</w:t>
            </w:r>
          </w:p>
        </w:tc>
        <w:tc>
          <w:tcPr>
            <w:tcW w:w="0" w:type="auto"/>
          </w:tcPr>
          <w:p w14:paraId="59CCF462" w14:textId="77777777" w:rsidR="003327CE" w:rsidRPr="00E87719" w:rsidRDefault="003327CE" w:rsidP="00E87719">
            <w:pPr>
              <w:pStyle w:val="Body"/>
              <w:pBdr>
                <w:top w:val="none" w:sz="0" w:space="0" w:color="auto"/>
                <w:left w:val="none" w:sz="0" w:space="0" w:color="auto"/>
                <w:bottom w:val="none" w:sz="0" w:space="0" w:color="auto"/>
                <w:right w:val="none" w:sz="0" w:space="0" w:color="auto"/>
                <w:bar w:val="none" w:sz="0" w:color="auto"/>
              </w:pBdr>
              <w:spacing w:before="0"/>
              <w:jc w:val="right"/>
              <w:rPr>
                <w:rFonts w:hAnsi="Arial" w:cs="Arial"/>
                <w:b/>
                <w:bCs/>
                <w:iCs/>
                <w:sz w:val="20"/>
                <w:szCs w:val="20"/>
                <w:lang w:val="en-GB"/>
              </w:rPr>
            </w:pPr>
            <w:r w:rsidRPr="00E87719">
              <w:rPr>
                <w:rFonts w:hAnsi="Arial" w:cs="Arial"/>
                <w:sz w:val="20"/>
                <w:szCs w:val="20"/>
                <w:lang w:val="en-GB"/>
              </w:rPr>
              <w:t>3.9</w:t>
            </w:r>
          </w:p>
        </w:tc>
        <w:tc>
          <w:tcPr>
            <w:tcW w:w="0" w:type="auto"/>
          </w:tcPr>
          <w:p w14:paraId="26C82F8A" w14:textId="77777777" w:rsidR="003327CE" w:rsidRPr="00E87719" w:rsidRDefault="003327CE" w:rsidP="00E87719">
            <w:pPr>
              <w:pStyle w:val="Body"/>
              <w:pBdr>
                <w:top w:val="none" w:sz="0" w:space="0" w:color="auto"/>
                <w:left w:val="none" w:sz="0" w:space="0" w:color="auto"/>
                <w:bottom w:val="none" w:sz="0" w:space="0" w:color="auto"/>
                <w:right w:val="none" w:sz="0" w:space="0" w:color="auto"/>
                <w:bar w:val="none" w:sz="0" w:color="auto"/>
              </w:pBdr>
              <w:spacing w:before="0"/>
              <w:jc w:val="right"/>
              <w:rPr>
                <w:rFonts w:hAnsi="Arial" w:cs="Arial"/>
                <w:b/>
                <w:bCs/>
                <w:iCs/>
                <w:sz w:val="20"/>
                <w:szCs w:val="20"/>
                <w:lang w:val="en-GB"/>
              </w:rPr>
            </w:pPr>
            <w:r w:rsidRPr="00E87719">
              <w:rPr>
                <w:rFonts w:hAnsi="Arial" w:cs="Arial"/>
                <w:sz w:val="20"/>
                <w:szCs w:val="20"/>
                <w:lang w:val="en-GB"/>
              </w:rPr>
              <w:t>567</w:t>
            </w:r>
          </w:p>
        </w:tc>
        <w:tc>
          <w:tcPr>
            <w:tcW w:w="0" w:type="auto"/>
          </w:tcPr>
          <w:p w14:paraId="68D49619" w14:textId="77777777" w:rsidR="003327CE" w:rsidRPr="00E87719" w:rsidRDefault="003327CE" w:rsidP="00E87719">
            <w:pPr>
              <w:pStyle w:val="Body"/>
              <w:pBdr>
                <w:top w:val="none" w:sz="0" w:space="0" w:color="auto"/>
                <w:left w:val="none" w:sz="0" w:space="0" w:color="auto"/>
                <w:bottom w:val="none" w:sz="0" w:space="0" w:color="auto"/>
                <w:right w:val="none" w:sz="0" w:space="0" w:color="auto"/>
                <w:bar w:val="none" w:sz="0" w:color="auto"/>
              </w:pBdr>
              <w:spacing w:before="0"/>
              <w:jc w:val="right"/>
              <w:rPr>
                <w:rFonts w:hAnsi="Arial" w:cs="Arial"/>
                <w:b/>
                <w:bCs/>
                <w:iCs/>
                <w:sz w:val="20"/>
                <w:szCs w:val="20"/>
                <w:lang w:val="en-GB"/>
              </w:rPr>
            </w:pPr>
            <w:r w:rsidRPr="00E87719">
              <w:rPr>
                <w:rFonts w:hAnsi="Arial" w:cs="Arial"/>
                <w:sz w:val="20"/>
                <w:szCs w:val="20"/>
                <w:lang w:val="en-GB"/>
              </w:rPr>
              <w:t>2.0</w:t>
            </w:r>
          </w:p>
        </w:tc>
        <w:tc>
          <w:tcPr>
            <w:tcW w:w="0" w:type="auto"/>
          </w:tcPr>
          <w:p w14:paraId="3E8F3C89" w14:textId="77777777" w:rsidR="003327CE" w:rsidRPr="00E87719" w:rsidRDefault="003327CE" w:rsidP="00E87719">
            <w:pPr>
              <w:pStyle w:val="Body"/>
              <w:pBdr>
                <w:top w:val="none" w:sz="0" w:space="0" w:color="auto"/>
                <w:left w:val="none" w:sz="0" w:space="0" w:color="auto"/>
                <w:bottom w:val="none" w:sz="0" w:space="0" w:color="auto"/>
                <w:right w:val="none" w:sz="0" w:space="0" w:color="auto"/>
                <w:bar w:val="none" w:sz="0" w:color="auto"/>
              </w:pBdr>
              <w:spacing w:before="0"/>
              <w:jc w:val="right"/>
              <w:rPr>
                <w:rFonts w:hAnsi="Arial" w:cs="Arial"/>
                <w:b/>
                <w:bCs/>
                <w:iCs/>
                <w:sz w:val="20"/>
                <w:szCs w:val="20"/>
                <w:lang w:val="en-GB"/>
              </w:rPr>
            </w:pPr>
            <w:r w:rsidRPr="00E87719">
              <w:rPr>
                <w:rFonts w:hAnsi="Arial" w:cs="Arial"/>
                <w:sz w:val="20"/>
                <w:szCs w:val="20"/>
                <w:lang w:val="en-GB"/>
              </w:rPr>
              <w:t>13228</w:t>
            </w:r>
          </w:p>
        </w:tc>
        <w:tc>
          <w:tcPr>
            <w:tcW w:w="0" w:type="auto"/>
          </w:tcPr>
          <w:p w14:paraId="18122C7D" w14:textId="77777777" w:rsidR="003327CE" w:rsidRPr="00E87719" w:rsidRDefault="003327CE" w:rsidP="00E87719">
            <w:pPr>
              <w:pStyle w:val="Body"/>
              <w:pBdr>
                <w:top w:val="none" w:sz="0" w:space="0" w:color="auto"/>
                <w:left w:val="none" w:sz="0" w:space="0" w:color="auto"/>
                <w:bottom w:val="none" w:sz="0" w:space="0" w:color="auto"/>
                <w:right w:val="none" w:sz="0" w:space="0" w:color="auto"/>
                <w:bar w:val="none" w:sz="0" w:color="auto"/>
              </w:pBdr>
              <w:spacing w:before="0"/>
              <w:jc w:val="right"/>
              <w:rPr>
                <w:rFonts w:hAnsi="Arial" w:cs="Arial"/>
                <w:b/>
                <w:bCs/>
                <w:iCs/>
                <w:sz w:val="20"/>
                <w:szCs w:val="20"/>
                <w:lang w:val="en-GB"/>
              </w:rPr>
            </w:pPr>
            <w:r w:rsidRPr="00E87719">
              <w:rPr>
                <w:rFonts w:hAnsi="Arial" w:cs="Arial"/>
                <w:sz w:val="20"/>
                <w:szCs w:val="20"/>
                <w:lang w:val="en-GB"/>
              </w:rPr>
              <w:t>3.7</w:t>
            </w:r>
          </w:p>
        </w:tc>
      </w:tr>
      <w:tr w:rsidR="003327CE" w:rsidRPr="00E87719" w14:paraId="06E63EB8" w14:textId="77777777" w:rsidTr="00265A49">
        <w:trPr>
          <w:trHeight w:val="594"/>
        </w:trPr>
        <w:tc>
          <w:tcPr>
            <w:tcW w:w="0" w:type="auto"/>
          </w:tcPr>
          <w:p w14:paraId="450A5400" w14:textId="77777777" w:rsidR="003327CE" w:rsidRPr="00E87719" w:rsidRDefault="003327CE" w:rsidP="00E7110E">
            <w:pPr>
              <w:pStyle w:val="Body"/>
              <w:keepNext/>
              <w:keepLines/>
              <w:pBdr>
                <w:top w:val="none" w:sz="0" w:space="0" w:color="auto"/>
                <w:left w:val="none" w:sz="0" w:space="0" w:color="auto"/>
                <w:bottom w:val="none" w:sz="0" w:space="0" w:color="auto"/>
                <w:right w:val="none" w:sz="0" w:space="0" w:color="auto"/>
                <w:bar w:val="none" w:sz="0" w:color="auto"/>
              </w:pBdr>
              <w:spacing w:before="0"/>
              <w:outlineLvl w:val="5"/>
              <w:rPr>
                <w:rFonts w:hAnsi="Arial" w:cs="Arial"/>
                <w:sz w:val="20"/>
                <w:szCs w:val="20"/>
                <w:lang w:val="en-GB"/>
              </w:rPr>
            </w:pPr>
            <w:r w:rsidRPr="00E87719">
              <w:rPr>
                <w:rFonts w:hAnsi="Arial" w:cs="Arial"/>
                <w:sz w:val="20"/>
                <w:szCs w:val="20"/>
                <w:lang w:val="en-GB"/>
              </w:rPr>
              <w:t>Student or person having an unpaid working experience</w:t>
            </w:r>
          </w:p>
        </w:tc>
        <w:tc>
          <w:tcPr>
            <w:tcW w:w="0" w:type="auto"/>
          </w:tcPr>
          <w:p w14:paraId="38454C9B" w14:textId="77777777" w:rsidR="003327CE" w:rsidRPr="00E87719" w:rsidRDefault="003327CE" w:rsidP="00E87719">
            <w:pPr>
              <w:pStyle w:val="Body"/>
              <w:pBdr>
                <w:top w:val="none" w:sz="0" w:space="0" w:color="auto"/>
                <w:left w:val="none" w:sz="0" w:space="0" w:color="auto"/>
                <w:bottom w:val="none" w:sz="0" w:space="0" w:color="auto"/>
                <w:right w:val="none" w:sz="0" w:space="0" w:color="auto"/>
                <w:bar w:val="none" w:sz="0" w:color="auto"/>
              </w:pBdr>
              <w:spacing w:before="0"/>
              <w:jc w:val="right"/>
              <w:rPr>
                <w:rFonts w:hAnsi="Arial" w:cs="Arial"/>
                <w:b/>
                <w:bCs/>
                <w:iCs/>
                <w:sz w:val="20"/>
                <w:szCs w:val="20"/>
                <w:lang w:val="en-GB"/>
              </w:rPr>
            </w:pPr>
            <w:r w:rsidRPr="00E87719">
              <w:rPr>
                <w:rFonts w:hAnsi="Arial" w:cs="Arial"/>
                <w:sz w:val="20"/>
                <w:szCs w:val="20"/>
                <w:lang w:val="en-GB"/>
              </w:rPr>
              <w:t>24341</w:t>
            </w:r>
          </w:p>
        </w:tc>
        <w:tc>
          <w:tcPr>
            <w:tcW w:w="0" w:type="auto"/>
          </w:tcPr>
          <w:p w14:paraId="5598B085" w14:textId="77777777" w:rsidR="003327CE" w:rsidRPr="00E87719" w:rsidRDefault="003327CE" w:rsidP="00E87719">
            <w:pPr>
              <w:pStyle w:val="Body"/>
              <w:pBdr>
                <w:top w:val="none" w:sz="0" w:space="0" w:color="auto"/>
                <w:left w:val="none" w:sz="0" w:space="0" w:color="auto"/>
                <w:bottom w:val="none" w:sz="0" w:space="0" w:color="auto"/>
                <w:right w:val="none" w:sz="0" w:space="0" w:color="auto"/>
                <w:bar w:val="none" w:sz="0" w:color="auto"/>
              </w:pBdr>
              <w:spacing w:before="0"/>
              <w:jc w:val="right"/>
              <w:rPr>
                <w:rFonts w:hAnsi="Arial" w:cs="Arial"/>
                <w:b/>
                <w:bCs/>
                <w:iCs/>
                <w:sz w:val="20"/>
                <w:szCs w:val="20"/>
                <w:lang w:val="en-GB"/>
              </w:rPr>
            </w:pPr>
            <w:r w:rsidRPr="00E87719">
              <w:rPr>
                <w:rFonts w:hAnsi="Arial" w:cs="Arial"/>
                <w:sz w:val="20"/>
                <w:szCs w:val="20"/>
                <w:lang w:val="en-GB"/>
              </w:rPr>
              <w:t>7.4</w:t>
            </w:r>
          </w:p>
        </w:tc>
        <w:tc>
          <w:tcPr>
            <w:tcW w:w="0" w:type="auto"/>
          </w:tcPr>
          <w:p w14:paraId="5DB8D2D4" w14:textId="77777777" w:rsidR="003327CE" w:rsidRPr="00E87719" w:rsidRDefault="003327CE" w:rsidP="00E87719">
            <w:pPr>
              <w:pStyle w:val="Body"/>
              <w:pBdr>
                <w:top w:val="none" w:sz="0" w:space="0" w:color="auto"/>
                <w:left w:val="none" w:sz="0" w:space="0" w:color="auto"/>
                <w:bottom w:val="none" w:sz="0" w:space="0" w:color="auto"/>
                <w:right w:val="none" w:sz="0" w:space="0" w:color="auto"/>
                <w:bar w:val="none" w:sz="0" w:color="auto"/>
              </w:pBdr>
              <w:spacing w:before="0"/>
              <w:jc w:val="right"/>
              <w:rPr>
                <w:rFonts w:hAnsi="Arial" w:cs="Arial"/>
                <w:b/>
                <w:bCs/>
                <w:iCs/>
                <w:sz w:val="20"/>
                <w:szCs w:val="20"/>
                <w:lang w:val="en-GB"/>
              </w:rPr>
            </w:pPr>
            <w:r w:rsidRPr="00E87719">
              <w:rPr>
                <w:rFonts w:hAnsi="Arial" w:cs="Arial"/>
                <w:sz w:val="20"/>
                <w:szCs w:val="20"/>
                <w:lang w:val="en-GB"/>
              </w:rPr>
              <w:t>1005</w:t>
            </w:r>
          </w:p>
        </w:tc>
        <w:tc>
          <w:tcPr>
            <w:tcW w:w="0" w:type="auto"/>
          </w:tcPr>
          <w:p w14:paraId="167CFA2A" w14:textId="77777777" w:rsidR="003327CE" w:rsidRPr="00E87719" w:rsidRDefault="003327CE" w:rsidP="00E87719">
            <w:pPr>
              <w:pStyle w:val="Body"/>
              <w:pBdr>
                <w:top w:val="none" w:sz="0" w:space="0" w:color="auto"/>
                <w:left w:val="none" w:sz="0" w:space="0" w:color="auto"/>
                <w:bottom w:val="none" w:sz="0" w:space="0" w:color="auto"/>
                <w:right w:val="none" w:sz="0" w:space="0" w:color="auto"/>
                <w:bar w:val="none" w:sz="0" w:color="auto"/>
              </w:pBdr>
              <w:spacing w:before="0"/>
              <w:jc w:val="right"/>
              <w:rPr>
                <w:rFonts w:hAnsi="Arial" w:cs="Arial"/>
                <w:b/>
                <w:bCs/>
                <w:iCs/>
                <w:sz w:val="20"/>
                <w:szCs w:val="20"/>
                <w:lang w:val="en-GB"/>
              </w:rPr>
            </w:pPr>
            <w:r w:rsidRPr="00E87719">
              <w:rPr>
                <w:rFonts w:hAnsi="Arial" w:cs="Arial"/>
                <w:sz w:val="20"/>
                <w:szCs w:val="20"/>
                <w:lang w:val="en-GB"/>
              </w:rPr>
              <w:t>3.6</w:t>
            </w:r>
          </w:p>
        </w:tc>
        <w:tc>
          <w:tcPr>
            <w:tcW w:w="0" w:type="auto"/>
          </w:tcPr>
          <w:p w14:paraId="5395ED5B" w14:textId="77777777" w:rsidR="003327CE" w:rsidRPr="00E87719" w:rsidRDefault="003327CE" w:rsidP="00E87719">
            <w:pPr>
              <w:pStyle w:val="Body"/>
              <w:pBdr>
                <w:top w:val="none" w:sz="0" w:space="0" w:color="auto"/>
                <w:left w:val="none" w:sz="0" w:space="0" w:color="auto"/>
                <w:bottom w:val="none" w:sz="0" w:space="0" w:color="auto"/>
                <w:right w:val="none" w:sz="0" w:space="0" w:color="auto"/>
                <w:bar w:val="none" w:sz="0" w:color="auto"/>
              </w:pBdr>
              <w:spacing w:before="0"/>
              <w:jc w:val="right"/>
              <w:rPr>
                <w:rFonts w:hAnsi="Arial" w:cs="Arial"/>
                <w:b/>
                <w:bCs/>
                <w:iCs/>
                <w:sz w:val="20"/>
                <w:szCs w:val="20"/>
                <w:lang w:val="en-GB"/>
              </w:rPr>
            </w:pPr>
            <w:r w:rsidRPr="00E87719">
              <w:rPr>
                <w:rFonts w:hAnsi="Arial" w:cs="Arial"/>
                <w:sz w:val="20"/>
                <w:szCs w:val="20"/>
                <w:lang w:val="en-GB"/>
              </w:rPr>
              <w:t>25346</w:t>
            </w:r>
          </w:p>
        </w:tc>
        <w:tc>
          <w:tcPr>
            <w:tcW w:w="0" w:type="auto"/>
          </w:tcPr>
          <w:p w14:paraId="39BF9C91" w14:textId="77777777" w:rsidR="003327CE" w:rsidRPr="00E87719" w:rsidRDefault="003327CE" w:rsidP="00E87719">
            <w:pPr>
              <w:pStyle w:val="Body"/>
              <w:pBdr>
                <w:top w:val="none" w:sz="0" w:space="0" w:color="auto"/>
                <w:left w:val="none" w:sz="0" w:space="0" w:color="auto"/>
                <w:bottom w:val="none" w:sz="0" w:space="0" w:color="auto"/>
                <w:right w:val="none" w:sz="0" w:space="0" w:color="auto"/>
                <w:bar w:val="none" w:sz="0" w:color="auto"/>
              </w:pBdr>
              <w:spacing w:before="0"/>
              <w:jc w:val="right"/>
              <w:rPr>
                <w:rFonts w:hAnsi="Arial" w:cs="Arial"/>
                <w:b/>
                <w:bCs/>
                <w:iCs/>
                <w:sz w:val="20"/>
                <w:szCs w:val="20"/>
                <w:lang w:val="en-GB"/>
              </w:rPr>
            </w:pPr>
            <w:r w:rsidRPr="00E87719">
              <w:rPr>
                <w:rFonts w:hAnsi="Arial" w:cs="Arial"/>
                <w:sz w:val="20"/>
                <w:szCs w:val="20"/>
                <w:lang w:val="en-GB"/>
              </w:rPr>
              <w:t>7.1</w:t>
            </w:r>
          </w:p>
        </w:tc>
      </w:tr>
      <w:tr w:rsidR="003327CE" w:rsidRPr="00E87719" w14:paraId="0906DFF3" w14:textId="77777777" w:rsidTr="00265A49">
        <w:trPr>
          <w:trHeight w:val="194"/>
        </w:trPr>
        <w:tc>
          <w:tcPr>
            <w:tcW w:w="0" w:type="auto"/>
          </w:tcPr>
          <w:p w14:paraId="4A00DCBA" w14:textId="77777777" w:rsidR="003327CE" w:rsidRPr="00E87719" w:rsidRDefault="003327CE" w:rsidP="00E7110E">
            <w:pPr>
              <w:pStyle w:val="Body"/>
              <w:pBdr>
                <w:top w:val="none" w:sz="0" w:space="0" w:color="auto"/>
                <w:left w:val="none" w:sz="0" w:space="0" w:color="auto"/>
                <w:bottom w:val="none" w:sz="0" w:space="0" w:color="auto"/>
                <w:right w:val="none" w:sz="0" w:space="0" w:color="auto"/>
                <w:bar w:val="none" w:sz="0" w:color="auto"/>
              </w:pBdr>
              <w:spacing w:before="0"/>
              <w:rPr>
                <w:rFonts w:hAnsi="Arial" w:cs="Arial"/>
                <w:sz w:val="20"/>
                <w:szCs w:val="20"/>
                <w:lang w:val="en-GB"/>
              </w:rPr>
            </w:pPr>
            <w:r w:rsidRPr="00E87719">
              <w:rPr>
                <w:rFonts w:hAnsi="Arial" w:cs="Arial"/>
                <w:sz w:val="20"/>
                <w:szCs w:val="20"/>
                <w:lang w:val="en-GB"/>
              </w:rPr>
              <w:t>Retired</w:t>
            </w:r>
          </w:p>
        </w:tc>
        <w:tc>
          <w:tcPr>
            <w:tcW w:w="0" w:type="auto"/>
          </w:tcPr>
          <w:p w14:paraId="1E20BB24" w14:textId="77777777" w:rsidR="003327CE" w:rsidRPr="00E87719" w:rsidRDefault="003327CE" w:rsidP="00E87719">
            <w:pPr>
              <w:pStyle w:val="Body"/>
              <w:pBdr>
                <w:top w:val="none" w:sz="0" w:space="0" w:color="auto"/>
                <w:left w:val="none" w:sz="0" w:space="0" w:color="auto"/>
                <w:bottom w:val="none" w:sz="0" w:space="0" w:color="auto"/>
                <w:right w:val="none" w:sz="0" w:space="0" w:color="auto"/>
                <w:bar w:val="none" w:sz="0" w:color="auto"/>
              </w:pBdr>
              <w:spacing w:before="0"/>
              <w:jc w:val="right"/>
              <w:rPr>
                <w:rFonts w:hAnsi="Arial" w:cs="Arial"/>
                <w:b/>
                <w:bCs/>
                <w:iCs/>
                <w:sz w:val="20"/>
                <w:szCs w:val="20"/>
                <w:lang w:val="en-GB"/>
              </w:rPr>
            </w:pPr>
            <w:r w:rsidRPr="00E87719">
              <w:rPr>
                <w:rFonts w:hAnsi="Arial" w:cs="Arial"/>
                <w:sz w:val="20"/>
                <w:szCs w:val="20"/>
                <w:lang w:val="en-GB"/>
              </w:rPr>
              <w:t>43532</w:t>
            </w:r>
          </w:p>
        </w:tc>
        <w:tc>
          <w:tcPr>
            <w:tcW w:w="0" w:type="auto"/>
          </w:tcPr>
          <w:p w14:paraId="68B8194F" w14:textId="77777777" w:rsidR="003327CE" w:rsidRPr="00E87719" w:rsidRDefault="003327CE" w:rsidP="00E87719">
            <w:pPr>
              <w:pStyle w:val="Body"/>
              <w:pBdr>
                <w:top w:val="none" w:sz="0" w:space="0" w:color="auto"/>
                <w:left w:val="none" w:sz="0" w:space="0" w:color="auto"/>
                <w:bottom w:val="none" w:sz="0" w:space="0" w:color="auto"/>
                <w:right w:val="none" w:sz="0" w:space="0" w:color="auto"/>
                <w:bar w:val="none" w:sz="0" w:color="auto"/>
              </w:pBdr>
              <w:spacing w:before="0"/>
              <w:jc w:val="right"/>
              <w:rPr>
                <w:rFonts w:hAnsi="Arial" w:cs="Arial"/>
                <w:b/>
                <w:bCs/>
                <w:iCs/>
                <w:sz w:val="20"/>
                <w:szCs w:val="20"/>
                <w:lang w:val="en-GB"/>
              </w:rPr>
            </w:pPr>
            <w:r w:rsidRPr="00E87719">
              <w:rPr>
                <w:rFonts w:hAnsi="Arial" w:cs="Arial"/>
                <w:sz w:val="20"/>
                <w:szCs w:val="20"/>
                <w:lang w:val="en-GB"/>
              </w:rPr>
              <w:t>13.3</w:t>
            </w:r>
          </w:p>
        </w:tc>
        <w:tc>
          <w:tcPr>
            <w:tcW w:w="0" w:type="auto"/>
          </w:tcPr>
          <w:p w14:paraId="79AFE59B" w14:textId="77777777" w:rsidR="003327CE" w:rsidRPr="00E87719" w:rsidRDefault="003327CE" w:rsidP="00E87719">
            <w:pPr>
              <w:pStyle w:val="Body"/>
              <w:pBdr>
                <w:top w:val="none" w:sz="0" w:space="0" w:color="auto"/>
                <w:left w:val="none" w:sz="0" w:space="0" w:color="auto"/>
                <w:bottom w:val="none" w:sz="0" w:space="0" w:color="auto"/>
                <w:right w:val="none" w:sz="0" w:space="0" w:color="auto"/>
                <w:bar w:val="none" w:sz="0" w:color="auto"/>
              </w:pBdr>
              <w:spacing w:before="0"/>
              <w:jc w:val="right"/>
              <w:rPr>
                <w:rFonts w:hAnsi="Arial" w:cs="Arial"/>
                <w:b/>
                <w:bCs/>
                <w:iCs/>
                <w:sz w:val="20"/>
                <w:szCs w:val="20"/>
                <w:lang w:val="en-GB"/>
              </w:rPr>
            </w:pPr>
            <w:r w:rsidRPr="00E87719">
              <w:rPr>
                <w:rFonts w:hAnsi="Arial" w:cs="Arial"/>
                <w:sz w:val="20"/>
                <w:szCs w:val="20"/>
                <w:lang w:val="en-GB"/>
              </w:rPr>
              <w:t>8310</w:t>
            </w:r>
          </w:p>
        </w:tc>
        <w:tc>
          <w:tcPr>
            <w:tcW w:w="0" w:type="auto"/>
          </w:tcPr>
          <w:p w14:paraId="6C085973" w14:textId="77777777" w:rsidR="003327CE" w:rsidRPr="00E87719" w:rsidRDefault="003327CE" w:rsidP="00E87719">
            <w:pPr>
              <w:pStyle w:val="Body"/>
              <w:pBdr>
                <w:top w:val="none" w:sz="0" w:space="0" w:color="auto"/>
                <w:left w:val="none" w:sz="0" w:space="0" w:color="auto"/>
                <w:bottom w:val="none" w:sz="0" w:space="0" w:color="auto"/>
                <w:right w:val="none" w:sz="0" w:space="0" w:color="auto"/>
                <w:bar w:val="none" w:sz="0" w:color="auto"/>
              </w:pBdr>
              <w:spacing w:before="0"/>
              <w:jc w:val="right"/>
              <w:rPr>
                <w:rFonts w:hAnsi="Arial" w:cs="Arial"/>
                <w:b/>
                <w:bCs/>
                <w:iCs/>
                <w:sz w:val="20"/>
                <w:szCs w:val="20"/>
                <w:lang w:val="en-GB"/>
              </w:rPr>
            </w:pPr>
            <w:r w:rsidRPr="00E87719">
              <w:rPr>
                <w:rFonts w:hAnsi="Arial" w:cs="Arial"/>
                <w:sz w:val="20"/>
                <w:szCs w:val="20"/>
                <w:lang w:val="en-GB"/>
              </w:rPr>
              <w:t>30.0</w:t>
            </w:r>
          </w:p>
        </w:tc>
        <w:tc>
          <w:tcPr>
            <w:tcW w:w="0" w:type="auto"/>
          </w:tcPr>
          <w:p w14:paraId="175C9195" w14:textId="77777777" w:rsidR="003327CE" w:rsidRPr="00E87719" w:rsidRDefault="003327CE" w:rsidP="00E87719">
            <w:pPr>
              <w:pStyle w:val="Body"/>
              <w:pBdr>
                <w:top w:val="none" w:sz="0" w:space="0" w:color="auto"/>
                <w:left w:val="none" w:sz="0" w:space="0" w:color="auto"/>
                <w:bottom w:val="none" w:sz="0" w:space="0" w:color="auto"/>
                <w:right w:val="none" w:sz="0" w:space="0" w:color="auto"/>
                <w:bar w:val="none" w:sz="0" w:color="auto"/>
              </w:pBdr>
              <w:spacing w:before="0"/>
              <w:jc w:val="right"/>
              <w:rPr>
                <w:rFonts w:hAnsi="Arial" w:cs="Arial"/>
                <w:b/>
                <w:bCs/>
                <w:iCs/>
                <w:sz w:val="20"/>
                <w:szCs w:val="20"/>
                <w:lang w:val="en-GB"/>
              </w:rPr>
            </w:pPr>
            <w:r w:rsidRPr="00E87719">
              <w:rPr>
                <w:rFonts w:hAnsi="Arial" w:cs="Arial"/>
                <w:sz w:val="20"/>
                <w:szCs w:val="20"/>
                <w:lang w:val="en-GB"/>
              </w:rPr>
              <w:t>51842</w:t>
            </w:r>
          </w:p>
        </w:tc>
        <w:tc>
          <w:tcPr>
            <w:tcW w:w="0" w:type="auto"/>
          </w:tcPr>
          <w:p w14:paraId="5549BDE5" w14:textId="77777777" w:rsidR="003327CE" w:rsidRPr="00E87719" w:rsidRDefault="003327CE" w:rsidP="00E87719">
            <w:pPr>
              <w:pStyle w:val="Body"/>
              <w:pBdr>
                <w:top w:val="none" w:sz="0" w:space="0" w:color="auto"/>
                <w:left w:val="none" w:sz="0" w:space="0" w:color="auto"/>
                <w:bottom w:val="none" w:sz="0" w:space="0" w:color="auto"/>
                <w:right w:val="none" w:sz="0" w:space="0" w:color="auto"/>
                <w:bar w:val="none" w:sz="0" w:color="auto"/>
              </w:pBdr>
              <w:spacing w:before="0"/>
              <w:jc w:val="right"/>
              <w:rPr>
                <w:rFonts w:hAnsi="Arial" w:cs="Arial"/>
                <w:b/>
                <w:bCs/>
                <w:iCs/>
                <w:sz w:val="20"/>
                <w:szCs w:val="20"/>
                <w:lang w:val="en-GB"/>
              </w:rPr>
            </w:pPr>
            <w:r w:rsidRPr="00E87719">
              <w:rPr>
                <w:rFonts w:hAnsi="Arial" w:cs="Arial"/>
                <w:sz w:val="20"/>
                <w:szCs w:val="20"/>
                <w:lang w:val="en-GB"/>
              </w:rPr>
              <w:t>14.6</w:t>
            </w:r>
          </w:p>
        </w:tc>
      </w:tr>
      <w:tr w:rsidR="003327CE" w:rsidRPr="00E87719" w14:paraId="2EB79750" w14:textId="77777777" w:rsidTr="00265A49">
        <w:trPr>
          <w:trHeight w:val="394"/>
        </w:trPr>
        <w:tc>
          <w:tcPr>
            <w:tcW w:w="0" w:type="auto"/>
          </w:tcPr>
          <w:p w14:paraId="67CA1403" w14:textId="77777777" w:rsidR="003327CE" w:rsidRPr="00E87719" w:rsidRDefault="003327CE" w:rsidP="00E7110E">
            <w:pPr>
              <w:pStyle w:val="Body"/>
              <w:keepNext/>
              <w:keepLines/>
              <w:pBdr>
                <w:top w:val="none" w:sz="0" w:space="0" w:color="auto"/>
                <w:left w:val="none" w:sz="0" w:space="0" w:color="auto"/>
                <w:bottom w:val="none" w:sz="0" w:space="0" w:color="auto"/>
                <w:right w:val="none" w:sz="0" w:space="0" w:color="auto"/>
                <w:bar w:val="none" w:sz="0" w:color="auto"/>
              </w:pBdr>
              <w:spacing w:before="0"/>
              <w:outlineLvl w:val="5"/>
              <w:rPr>
                <w:rFonts w:hAnsi="Arial" w:cs="Arial"/>
                <w:sz w:val="20"/>
                <w:szCs w:val="20"/>
                <w:lang w:val="en-GB"/>
              </w:rPr>
            </w:pPr>
            <w:r w:rsidRPr="00E87719">
              <w:rPr>
                <w:rFonts w:hAnsi="Arial" w:cs="Arial"/>
                <w:sz w:val="20"/>
                <w:szCs w:val="20"/>
                <w:lang w:val="en-GB"/>
              </w:rPr>
              <w:t>Cannot work due to illness or disability</w:t>
            </w:r>
          </w:p>
        </w:tc>
        <w:tc>
          <w:tcPr>
            <w:tcW w:w="0" w:type="auto"/>
          </w:tcPr>
          <w:p w14:paraId="4E6EB3C5" w14:textId="77777777" w:rsidR="003327CE" w:rsidRPr="00E87719" w:rsidRDefault="003327CE" w:rsidP="00E87719">
            <w:pPr>
              <w:pStyle w:val="Body"/>
              <w:pBdr>
                <w:top w:val="none" w:sz="0" w:space="0" w:color="auto"/>
                <w:left w:val="none" w:sz="0" w:space="0" w:color="auto"/>
                <w:bottom w:val="none" w:sz="0" w:space="0" w:color="auto"/>
                <w:right w:val="none" w:sz="0" w:space="0" w:color="auto"/>
                <w:bar w:val="none" w:sz="0" w:color="auto"/>
              </w:pBdr>
              <w:spacing w:before="0"/>
              <w:jc w:val="right"/>
              <w:rPr>
                <w:rFonts w:hAnsi="Arial" w:cs="Arial"/>
                <w:b/>
                <w:bCs/>
                <w:iCs/>
                <w:sz w:val="20"/>
                <w:szCs w:val="20"/>
                <w:lang w:val="en-GB"/>
              </w:rPr>
            </w:pPr>
            <w:r w:rsidRPr="00E87719">
              <w:rPr>
                <w:rFonts w:hAnsi="Arial" w:cs="Arial"/>
                <w:sz w:val="20"/>
                <w:szCs w:val="20"/>
                <w:lang w:val="en-GB"/>
              </w:rPr>
              <w:t>2070</w:t>
            </w:r>
          </w:p>
        </w:tc>
        <w:tc>
          <w:tcPr>
            <w:tcW w:w="0" w:type="auto"/>
          </w:tcPr>
          <w:p w14:paraId="07F37000" w14:textId="7AECA89F" w:rsidR="003327CE" w:rsidRPr="00E87719" w:rsidRDefault="00265A49" w:rsidP="00E87719">
            <w:pPr>
              <w:pStyle w:val="Body"/>
              <w:pBdr>
                <w:top w:val="none" w:sz="0" w:space="0" w:color="auto"/>
                <w:left w:val="none" w:sz="0" w:space="0" w:color="auto"/>
                <w:bottom w:val="none" w:sz="0" w:space="0" w:color="auto"/>
                <w:right w:val="none" w:sz="0" w:space="0" w:color="auto"/>
                <w:bar w:val="none" w:sz="0" w:color="auto"/>
              </w:pBdr>
              <w:spacing w:before="0"/>
              <w:jc w:val="right"/>
              <w:rPr>
                <w:rFonts w:hAnsi="Arial" w:cs="Arial"/>
                <w:b/>
                <w:bCs/>
                <w:iCs/>
                <w:sz w:val="20"/>
                <w:szCs w:val="20"/>
                <w:lang w:val="en-GB"/>
              </w:rPr>
            </w:pPr>
            <w:r>
              <w:rPr>
                <w:rFonts w:hAnsi="Arial" w:cs="Arial"/>
                <w:sz w:val="20"/>
                <w:szCs w:val="20"/>
                <w:lang w:val="en-GB"/>
              </w:rPr>
              <w:t>0</w:t>
            </w:r>
            <w:r w:rsidR="003327CE" w:rsidRPr="00E87719">
              <w:rPr>
                <w:rFonts w:hAnsi="Arial" w:cs="Arial"/>
                <w:sz w:val="20"/>
                <w:szCs w:val="20"/>
                <w:lang w:val="en-GB"/>
              </w:rPr>
              <w:t>.6</w:t>
            </w:r>
          </w:p>
        </w:tc>
        <w:tc>
          <w:tcPr>
            <w:tcW w:w="0" w:type="auto"/>
          </w:tcPr>
          <w:p w14:paraId="211C64E7" w14:textId="77777777" w:rsidR="003327CE" w:rsidRPr="00E87719" w:rsidRDefault="003327CE" w:rsidP="00E87719">
            <w:pPr>
              <w:pStyle w:val="Body"/>
              <w:pBdr>
                <w:top w:val="none" w:sz="0" w:space="0" w:color="auto"/>
                <w:left w:val="none" w:sz="0" w:space="0" w:color="auto"/>
                <w:bottom w:val="none" w:sz="0" w:space="0" w:color="auto"/>
                <w:right w:val="none" w:sz="0" w:space="0" w:color="auto"/>
                <w:bar w:val="none" w:sz="0" w:color="auto"/>
              </w:pBdr>
              <w:spacing w:before="0"/>
              <w:jc w:val="right"/>
              <w:rPr>
                <w:rFonts w:hAnsi="Arial" w:cs="Arial"/>
                <w:b/>
                <w:bCs/>
                <w:iCs/>
                <w:sz w:val="20"/>
                <w:szCs w:val="20"/>
                <w:lang w:val="en-GB"/>
              </w:rPr>
            </w:pPr>
            <w:r w:rsidRPr="00E87719">
              <w:rPr>
                <w:rFonts w:hAnsi="Arial" w:cs="Arial"/>
                <w:sz w:val="20"/>
                <w:szCs w:val="20"/>
                <w:lang w:val="en-GB"/>
              </w:rPr>
              <w:t>3809</w:t>
            </w:r>
          </w:p>
        </w:tc>
        <w:tc>
          <w:tcPr>
            <w:tcW w:w="0" w:type="auto"/>
          </w:tcPr>
          <w:p w14:paraId="5957AE89" w14:textId="77777777" w:rsidR="003327CE" w:rsidRPr="00E87719" w:rsidRDefault="003327CE" w:rsidP="00E87719">
            <w:pPr>
              <w:pStyle w:val="Body"/>
              <w:pBdr>
                <w:top w:val="none" w:sz="0" w:space="0" w:color="auto"/>
                <w:left w:val="none" w:sz="0" w:space="0" w:color="auto"/>
                <w:bottom w:val="none" w:sz="0" w:space="0" w:color="auto"/>
                <w:right w:val="none" w:sz="0" w:space="0" w:color="auto"/>
                <w:bar w:val="none" w:sz="0" w:color="auto"/>
              </w:pBdr>
              <w:spacing w:before="0"/>
              <w:jc w:val="right"/>
              <w:rPr>
                <w:rFonts w:hAnsi="Arial" w:cs="Arial"/>
                <w:b/>
                <w:bCs/>
                <w:iCs/>
                <w:sz w:val="20"/>
                <w:szCs w:val="20"/>
                <w:lang w:val="en-GB"/>
              </w:rPr>
            </w:pPr>
            <w:r w:rsidRPr="00E87719">
              <w:rPr>
                <w:rFonts w:hAnsi="Arial" w:cs="Arial"/>
                <w:sz w:val="20"/>
                <w:szCs w:val="20"/>
                <w:lang w:val="en-GB"/>
              </w:rPr>
              <w:t>13.8</w:t>
            </w:r>
          </w:p>
        </w:tc>
        <w:tc>
          <w:tcPr>
            <w:tcW w:w="0" w:type="auto"/>
          </w:tcPr>
          <w:p w14:paraId="13CF9597" w14:textId="77777777" w:rsidR="003327CE" w:rsidRPr="00E87719" w:rsidRDefault="003327CE" w:rsidP="00E87719">
            <w:pPr>
              <w:pStyle w:val="Body"/>
              <w:pBdr>
                <w:top w:val="none" w:sz="0" w:space="0" w:color="auto"/>
                <w:left w:val="none" w:sz="0" w:space="0" w:color="auto"/>
                <w:bottom w:val="none" w:sz="0" w:space="0" w:color="auto"/>
                <w:right w:val="none" w:sz="0" w:space="0" w:color="auto"/>
                <w:bar w:val="none" w:sz="0" w:color="auto"/>
              </w:pBdr>
              <w:spacing w:before="0"/>
              <w:jc w:val="right"/>
              <w:rPr>
                <w:rFonts w:hAnsi="Arial" w:cs="Arial"/>
                <w:b/>
                <w:bCs/>
                <w:iCs/>
                <w:sz w:val="20"/>
                <w:szCs w:val="20"/>
                <w:lang w:val="en-GB"/>
              </w:rPr>
            </w:pPr>
            <w:r w:rsidRPr="00E87719">
              <w:rPr>
                <w:rFonts w:hAnsi="Arial" w:cs="Arial"/>
                <w:sz w:val="20"/>
                <w:szCs w:val="20"/>
                <w:lang w:val="en-GB"/>
              </w:rPr>
              <w:t>5879</w:t>
            </w:r>
          </w:p>
        </w:tc>
        <w:tc>
          <w:tcPr>
            <w:tcW w:w="0" w:type="auto"/>
          </w:tcPr>
          <w:p w14:paraId="1DAA70D7" w14:textId="77777777" w:rsidR="003327CE" w:rsidRPr="00E87719" w:rsidRDefault="003327CE" w:rsidP="00E87719">
            <w:pPr>
              <w:pStyle w:val="Body"/>
              <w:pBdr>
                <w:top w:val="none" w:sz="0" w:space="0" w:color="auto"/>
                <w:left w:val="none" w:sz="0" w:space="0" w:color="auto"/>
                <w:bottom w:val="none" w:sz="0" w:space="0" w:color="auto"/>
                <w:right w:val="none" w:sz="0" w:space="0" w:color="auto"/>
                <w:bar w:val="none" w:sz="0" w:color="auto"/>
              </w:pBdr>
              <w:spacing w:before="0"/>
              <w:jc w:val="right"/>
              <w:rPr>
                <w:rFonts w:hAnsi="Arial" w:cs="Arial"/>
                <w:b/>
                <w:bCs/>
                <w:iCs/>
                <w:sz w:val="20"/>
                <w:szCs w:val="20"/>
                <w:lang w:val="en-GB"/>
              </w:rPr>
            </w:pPr>
            <w:r w:rsidRPr="00E87719">
              <w:rPr>
                <w:rFonts w:hAnsi="Arial" w:cs="Arial"/>
                <w:sz w:val="20"/>
                <w:szCs w:val="20"/>
                <w:lang w:val="en-GB"/>
              </w:rPr>
              <w:t>1.7</w:t>
            </w:r>
          </w:p>
        </w:tc>
      </w:tr>
      <w:tr w:rsidR="003327CE" w:rsidRPr="00E87719" w14:paraId="614C76B9" w14:textId="77777777" w:rsidTr="00265A49">
        <w:trPr>
          <w:trHeight w:val="394"/>
        </w:trPr>
        <w:tc>
          <w:tcPr>
            <w:tcW w:w="0" w:type="auto"/>
          </w:tcPr>
          <w:p w14:paraId="54349C2C" w14:textId="77777777" w:rsidR="003327CE" w:rsidRPr="00E87719" w:rsidRDefault="003327CE" w:rsidP="00E7110E">
            <w:pPr>
              <w:pStyle w:val="Body"/>
              <w:keepNext/>
              <w:keepLines/>
              <w:pBdr>
                <w:top w:val="none" w:sz="0" w:space="0" w:color="auto"/>
                <w:left w:val="none" w:sz="0" w:space="0" w:color="auto"/>
                <w:bottom w:val="none" w:sz="0" w:space="0" w:color="auto"/>
                <w:right w:val="none" w:sz="0" w:space="0" w:color="auto"/>
                <w:bar w:val="none" w:sz="0" w:color="auto"/>
              </w:pBdr>
              <w:spacing w:before="0"/>
              <w:outlineLvl w:val="5"/>
              <w:rPr>
                <w:rFonts w:hAnsi="Arial" w:cs="Arial"/>
                <w:sz w:val="20"/>
                <w:szCs w:val="20"/>
                <w:lang w:val="en-GB"/>
              </w:rPr>
            </w:pPr>
            <w:r w:rsidRPr="00E87719">
              <w:rPr>
                <w:rFonts w:hAnsi="Arial" w:cs="Arial"/>
                <w:sz w:val="20"/>
                <w:szCs w:val="20"/>
                <w:lang w:val="en-GB"/>
              </w:rPr>
              <w:t>Taking care of the house and/or family</w:t>
            </w:r>
          </w:p>
        </w:tc>
        <w:tc>
          <w:tcPr>
            <w:tcW w:w="0" w:type="auto"/>
          </w:tcPr>
          <w:p w14:paraId="01582219" w14:textId="77777777" w:rsidR="003327CE" w:rsidRPr="00E87719" w:rsidRDefault="003327CE" w:rsidP="00E87719">
            <w:pPr>
              <w:pStyle w:val="Body"/>
              <w:pBdr>
                <w:top w:val="none" w:sz="0" w:space="0" w:color="auto"/>
                <w:left w:val="none" w:sz="0" w:space="0" w:color="auto"/>
                <w:bottom w:val="none" w:sz="0" w:space="0" w:color="auto"/>
                <w:right w:val="none" w:sz="0" w:space="0" w:color="auto"/>
                <w:bar w:val="none" w:sz="0" w:color="auto"/>
              </w:pBdr>
              <w:spacing w:before="0"/>
              <w:jc w:val="right"/>
              <w:rPr>
                <w:rFonts w:hAnsi="Arial" w:cs="Arial"/>
                <w:b/>
                <w:bCs/>
                <w:iCs/>
                <w:sz w:val="20"/>
                <w:szCs w:val="20"/>
                <w:lang w:val="en-GB"/>
              </w:rPr>
            </w:pPr>
            <w:r w:rsidRPr="00E87719">
              <w:rPr>
                <w:rFonts w:hAnsi="Arial" w:cs="Arial"/>
                <w:sz w:val="20"/>
                <w:szCs w:val="20"/>
                <w:lang w:val="en-GB"/>
              </w:rPr>
              <w:t>72678</w:t>
            </w:r>
          </w:p>
        </w:tc>
        <w:tc>
          <w:tcPr>
            <w:tcW w:w="0" w:type="auto"/>
          </w:tcPr>
          <w:p w14:paraId="2D20D1F4" w14:textId="77777777" w:rsidR="003327CE" w:rsidRPr="00E87719" w:rsidRDefault="003327CE" w:rsidP="00E87719">
            <w:pPr>
              <w:pStyle w:val="Body"/>
              <w:pBdr>
                <w:top w:val="none" w:sz="0" w:space="0" w:color="auto"/>
                <w:left w:val="none" w:sz="0" w:space="0" w:color="auto"/>
                <w:bottom w:val="none" w:sz="0" w:space="0" w:color="auto"/>
                <w:right w:val="none" w:sz="0" w:space="0" w:color="auto"/>
                <w:bar w:val="none" w:sz="0" w:color="auto"/>
              </w:pBdr>
              <w:spacing w:before="0"/>
              <w:jc w:val="right"/>
              <w:rPr>
                <w:rFonts w:hAnsi="Arial" w:cs="Arial"/>
                <w:b/>
                <w:bCs/>
                <w:iCs/>
                <w:sz w:val="20"/>
                <w:szCs w:val="20"/>
                <w:lang w:val="en-GB"/>
              </w:rPr>
            </w:pPr>
            <w:r w:rsidRPr="00E87719">
              <w:rPr>
                <w:rFonts w:hAnsi="Arial" w:cs="Arial"/>
                <w:sz w:val="20"/>
                <w:szCs w:val="20"/>
                <w:lang w:val="en-GB"/>
              </w:rPr>
              <w:t>22.2</w:t>
            </w:r>
          </w:p>
        </w:tc>
        <w:tc>
          <w:tcPr>
            <w:tcW w:w="0" w:type="auto"/>
          </w:tcPr>
          <w:p w14:paraId="5F23524F" w14:textId="77777777" w:rsidR="003327CE" w:rsidRPr="00E87719" w:rsidRDefault="003327CE" w:rsidP="00E87719">
            <w:pPr>
              <w:pStyle w:val="Body"/>
              <w:pBdr>
                <w:top w:val="none" w:sz="0" w:space="0" w:color="auto"/>
                <w:left w:val="none" w:sz="0" w:space="0" w:color="auto"/>
                <w:bottom w:val="none" w:sz="0" w:space="0" w:color="auto"/>
                <w:right w:val="none" w:sz="0" w:space="0" w:color="auto"/>
                <w:bar w:val="none" w:sz="0" w:color="auto"/>
              </w:pBdr>
              <w:spacing w:before="0"/>
              <w:jc w:val="right"/>
              <w:rPr>
                <w:rFonts w:hAnsi="Arial" w:cs="Arial"/>
                <w:sz w:val="20"/>
                <w:szCs w:val="20"/>
                <w:lang w:val="en-GB"/>
              </w:rPr>
            </w:pPr>
            <w:r w:rsidRPr="00E87719">
              <w:rPr>
                <w:rFonts w:hAnsi="Arial" w:cs="Arial"/>
                <w:sz w:val="20"/>
                <w:szCs w:val="20"/>
                <w:lang w:val="en-GB"/>
              </w:rPr>
              <w:t>7815</w:t>
            </w:r>
          </w:p>
        </w:tc>
        <w:tc>
          <w:tcPr>
            <w:tcW w:w="0" w:type="auto"/>
          </w:tcPr>
          <w:p w14:paraId="69198FC7" w14:textId="77777777" w:rsidR="003327CE" w:rsidRPr="00E87719" w:rsidRDefault="003327CE" w:rsidP="00E87719">
            <w:pPr>
              <w:pStyle w:val="Body"/>
              <w:pBdr>
                <w:top w:val="none" w:sz="0" w:space="0" w:color="auto"/>
                <w:left w:val="none" w:sz="0" w:space="0" w:color="auto"/>
                <w:bottom w:val="none" w:sz="0" w:space="0" w:color="auto"/>
                <w:right w:val="none" w:sz="0" w:space="0" w:color="auto"/>
                <w:bar w:val="none" w:sz="0" w:color="auto"/>
              </w:pBdr>
              <w:spacing w:before="0"/>
              <w:jc w:val="right"/>
              <w:rPr>
                <w:rFonts w:hAnsi="Arial" w:cs="Arial"/>
                <w:b/>
                <w:bCs/>
                <w:iCs/>
                <w:sz w:val="20"/>
                <w:szCs w:val="20"/>
                <w:lang w:val="en-GB"/>
              </w:rPr>
            </w:pPr>
            <w:r w:rsidRPr="00E87719">
              <w:rPr>
                <w:rFonts w:hAnsi="Arial" w:cs="Arial"/>
                <w:sz w:val="20"/>
                <w:szCs w:val="20"/>
                <w:lang w:val="en-GB"/>
              </w:rPr>
              <w:t>28.2</w:t>
            </w:r>
          </w:p>
        </w:tc>
        <w:tc>
          <w:tcPr>
            <w:tcW w:w="0" w:type="auto"/>
          </w:tcPr>
          <w:p w14:paraId="14ADBD2E" w14:textId="77777777" w:rsidR="003327CE" w:rsidRPr="00E87719" w:rsidRDefault="003327CE" w:rsidP="00E87719">
            <w:pPr>
              <w:pStyle w:val="Body"/>
              <w:pBdr>
                <w:top w:val="none" w:sz="0" w:space="0" w:color="auto"/>
                <w:left w:val="none" w:sz="0" w:space="0" w:color="auto"/>
                <w:bottom w:val="none" w:sz="0" w:space="0" w:color="auto"/>
                <w:right w:val="none" w:sz="0" w:space="0" w:color="auto"/>
                <w:bar w:val="none" w:sz="0" w:color="auto"/>
              </w:pBdr>
              <w:spacing w:before="0"/>
              <w:jc w:val="right"/>
              <w:rPr>
                <w:rFonts w:hAnsi="Arial" w:cs="Arial"/>
                <w:b/>
                <w:bCs/>
                <w:iCs/>
                <w:sz w:val="20"/>
                <w:szCs w:val="20"/>
                <w:lang w:val="en-GB"/>
              </w:rPr>
            </w:pPr>
            <w:r w:rsidRPr="00E87719">
              <w:rPr>
                <w:rFonts w:hAnsi="Arial" w:cs="Arial"/>
                <w:sz w:val="20"/>
                <w:szCs w:val="20"/>
                <w:lang w:val="en-GB"/>
              </w:rPr>
              <w:t>80493</w:t>
            </w:r>
          </w:p>
        </w:tc>
        <w:tc>
          <w:tcPr>
            <w:tcW w:w="0" w:type="auto"/>
          </w:tcPr>
          <w:p w14:paraId="683F5929" w14:textId="77777777" w:rsidR="003327CE" w:rsidRPr="00E87719" w:rsidRDefault="003327CE" w:rsidP="00E87719">
            <w:pPr>
              <w:pStyle w:val="Body"/>
              <w:pBdr>
                <w:top w:val="none" w:sz="0" w:space="0" w:color="auto"/>
                <w:left w:val="none" w:sz="0" w:space="0" w:color="auto"/>
                <w:bottom w:val="none" w:sz="0" w:space="0" w:color="auto"/>
                <w:right w:val="none" w:sz="0" w:space="0" w:color="auto"/>
                <w:bar w:val="none" w:sz="0" w:color="auto"/>
              </w:pBdr>
              <w:spacing w:before="0"/>
              <w:jc w:val="right"/>
              <w:rPr>
                <w:rFonts w:hAnsi="Arial" w:cs="Arial"/>
                <w:b/>
                <w:bCs/>
                <w:iCs/>
                <w:sz w:val="20"/>
                <w:szCs w:val="20"/>
                <w:lang w:val="en-GB"/>
              </w:rPr>
            </w:pPr>
            <w:r w:rsidRPr="00E87719">
              <w:rPr>
                <w:rFonts w:hAnsi="Arial" w:cs="Arial"/>
                <w:sz w:val="20"/>
                <w:szCs w:val="20"/>
                <w:lang w:val="en-GB"/>
              </w:rPr>
              <w:t>22.6</w:t>
            </w:r>
          </w:p>
        </w:tc>
      </w:tr>
      <w:tr w:rsidR="003327CE" w:rsidRPr="00E87719" w14:paraId="5785413E" w14:textId="77777777" w:rsidTr="00265A49">
        <w:trPr>
          <w:trHeight w:val="394"/>
        </w:trPr>
        <w:tc>
          <w:tcPr>
            <w:tcW w:w="0" w:type="auto"/>
          </w:tcPr>
          <w:p w14:paraId="4D738893" w14:textId="77777777" w:rsidR="003327CE" w:rsidRPr="00E87719" w:rsidRDefault="003327CE" w:rsidP="00E7110E">
            <w:pPr>
              <w:pStyle w:val="Body"/>
              <w:pBdr>
                <w:top w:val="none" w:sz="0" w:space="0" w:color="auto"/>
                <w:left w:val="none" w:sz="0" w:space="0" w:color="auto"/>
                <w:bottom w:val="none" w:sz="0" w:space="0" w:color="auto"/>
                <w:right w:val="none" w:sz="0" w:space="0" w:color="auto"/>
                <w:bar w:val="none" w:sz="0" w:color="auto"/>
              </w:pBdr>
              <w:spacing w:before="0"/>
              <w:rPr>
                <w:rFonts w:hAnsi="Arial" w:cs="Arial"/>
                <w:sz w:val="20"/>
                <w:szCs w:val="20"/>
                <w:lang w:val="en-GB"/>
              </w:rPr>
            </w:pPr>
            <w:r w:rsidRPr="00E87719">
              <w:rPr>
                <w:rFonts w:hAnsi="Arial" w:cs="Arial"/>
                <w:sz w:val="20"/>
                <w:szCs w:val="20"/>
                <w:lang w:val="en-GB"/>
              </w:rPr>
              <w:t>Other inactive persons</w:t>
            </w:r>
          </w:p>
        </w:tc>
        <w:tc>
          <w:tcPr>
            <w:tcW w:w="0" w:type="auto"/>
          </w:tcPr>
          <w:p w14:paraId="644B426C" w14:textId="77777777" w:rsidR="003327CE" w:rsidRPr="00E87719" w:rsidRDefault="003327CE" w:rsidP="00E87719">
            <w:pPr>
              <w:pStyle w:val="Body"/>
              <w:pBdr>
                <w:top w:val="none" w:sz="0" w:space="0" w:color="auto"/>
                <w:left w:val="none" w:sz="0" w:space="0" w:color="auto"/>
                <w:bottom w:val="none" w:sz="0" w:space="0" w:color="auto"/>
                <w:right w:val="none" w:sz="0" w:space="0" w:color="auto"/>
                <w:bar w:val="none" w:sz="0" w:color="auto"/>
              </w:pBdr>
              <w:spacing w:before="0"/>
              <w:jc w:val="right"/>
              <w:rPr>
                <w:rFonts w:hAnsi="Arial" w:cs="Arial"/>
                <w:b/>
                <w:bCs/>
                <w:iCs/>
                <w:sz w:val="20"/>
                <w:szCs w:val="20"/>
                <w:lang w:val="en-GB"/>
              </w:rPr>
            </w:pPr>
            <w:r w:rsidRPr="00E87719">
              <w:rPr>
                <w:rFonts w:hAnsi="Arial" w:cs="Arial"/>
                <w:sz w:val="20"/>
                <w:szCs w:val="20"/>
                <w:lang w:val="en-GB"/>
              </w:rPr>
              <w:t>5459</w:t>
            </w:r>
          </w:p>
        </w:tc>
        <w:tc>
          <w:tcPr>
            <w:tcW w:w="0" w:type="auto"/>
          </w:tcPr>
          <w:p w14:paraId="36400CF7" w14:textId="77777777" w:rsidR="003327CE" w:rsidRPr="00E87719" w:rsidRDefault="003327CE" w:rsidP="00E87719">
            <w:pPr>
              <w:pStyle w:val="Body"/>
              <w:pBdr>
                <w:top w:val="none" w:sz="0" w:space="0" w:color="auto"/>
                <w:left w:val="none" w:sz="0" w:space="0" w:color="auto"/>
                <w:bottom w:val="none" w:sz="0" w:space="0" w:color="auto"/>
                <w:right w:val="none" w:sz="0" w:space="0" w:color="auto"/>
                <w:bar w:val="none" w:sz="0" w:color="auto"/>
              </w:pBdr>
              <w:spacing w:before="0"/>
              <w:jc w:val="right"/>
              <w:rPr>
                <w:rFonts w:hAnsi="Arial" w:cs="Arial"/>
                <w:b/>
                <w:bCs/>
                <w:iCs/>
                <w:sz w:val="20"/>
                <w:szCs w:val="20"/>
                <w:lang w:val="en-GB"/>
              </w:rPr>
            </w:pPr>
            <w:r w:rsidRPr="00E87719">
              <w:rPr>
                <w:rFonts w:hAnsi="Arial" w:cs="Arial"/>
                <w:sz w:val="20"/>
                <w:szCs w:val="20"/>
                <w:lang w:val="en-GB"/>
              </w:rPr>
              <w:t>1.7</w:t>
            </w:r>
          </w:p>
        </w:tc>
        <w:tc>
          <w:tcPr>
            <w:tcW w:w="0" w:type="auto"/>
          </w:tcPr>
          <w:p w14:paraId="523E3081" w14:textId="77777777" w:rsidR="003327CE" w:rsidRPr="00E87719" w:rsidRDefault="003327CE" w:rsidP="00E87719">
            <w:pPr>
              <w:pStyle w:val="Body"/>
              <w:pBdr>
                <w:top w:val="none" w:sz="0" w:space="0" w:color="auto"/>
                <w:left w:val="none" w:sz="0" w:space="0" w:color="auto"/>
                <w:bottom w:val="none" w:sz="0" w:space="0" w:color="auto"/>
                <w:right w:val="none" w:sz="0" w:space="0" w:color="auto"/>
                <w:bar w:val="none" w:sz="0" w:color="auto"/>
              </w:pBdr>
              <w:spacing w:before="0"/>
              <w:jc w:val="right"/>
              <w:rPr>
                <w:rFonts w:hAnsi="Arial" w:cs="Arial"/>
                <w:b/>
                <w:bCs/>
                <w:iCs/>
                <w:sz w:val="20"/>
                <w:szCs w:val="20"/>
                <w:lang w:val="en-GB"/>
              </w:rPr>
            </w:pPr>
            <w:r w:rsidRPr="00E87719">
              <w:rPr>
                <w:rFonts w:hAnsi="Arial" w:cs="Arial"/>
                <w:sz w:val="20"/>
                <w:szCs w:val="20"/>
                <w:lang w:val="en-GB"/>
              </w:rPr>
              <w:t>1602</w:t>
            </w:r>
          </w:p>
        </w:tc>
        <w:tc>
          <w:tcPr>
            <w:tcW w:w="0" w:type="auto"/>
          </w:tcPr>
          <w:p w14:paraId="36D7975C" w14:textId="77777777" w:rsidR="003327CE" w:rsidRPr="00E87719" w:rsidRDefault="003327CE" w:rsidP="00E87719">
            <w:pPr>
              <w:pStyle w:val="Body"/>
              <w:pBdr>
                <w:top w:val="none" w:sz="0" w:space="0" w:color="auto"/>
                <w:left w:val="none" w:sz="0" w:space="0" w:color="auto"/>
                <w:bottom w:val="none" w:sz="0" w:space="0" w:color="auto"/>
                <w:right w:val="none" w:sz="0" w:space="0" w:color="auto"/>
                <w:bar w:val="none" w:sz="0" w:color="auto"/>
              </w:pBdr>
              <w:spacing w:before="0"/>
              <w:jc w:val="right"/>
              <w:rPr>
                <w:rFonts w:hAnsi="Arial" w:cs="Arial"/>
                <w:b/>
                <w:bCs/>
                <w:iCs/>
                <w:sz w:val="20"/>
                <w:szCs w:val="20"/>
                <w:lang w:val="en-GB"/>
              </w:rPr>
            </w:pPr>
            <w:r w:rsidRPr="00E87719">
              <w:rPr>
                <w:rFonts w:hAnsi="Arial" w:cs="Arial"/>
                <w:sz w:val="20"/>
                <w:szCs w:val="20"/>
                <w:lang w:val="en-GB"/>
              </w:rPr>
              <w:t>5.8</w:t>
            </w:r>
          </w:p>
        </w:tc>
        <w:tc>
          <w:tcPr>
            <w:tcW w:w="0" w:type="auto"/>
          </w:tcPr>
          <w:p w14:paraId="07D67DBD" w14:textId="77777777" w:rsidR="003327CE" w:rsidRPr="00E87719" w:rsidRDefault="003327CE" w:rsidP="00E87719">
            <w:pPr>
              <w:pStyle w:val="Body"/>
              <w:pBdr>
                <w:top w:val="none" w:sz="0" w:space="0" w:color="auto"/>
                <w:left w:val="none" w:sz="0" w:space="0" w:color="auto"/>
                <w:bottom w:val="none" w:sz="0" w:space="0" w:color="auto"/>
                <w:right w:val="none" w:sz="0" w:space="0" w:color="auto"/>
                <w:bar w:val="none" w:sz="0" w:color="auto"/>
              </w:pBdr>
              <w:spacing w:before="0"/>
              <w:jc w:val="right"/>
              <w:rPr>
                <w:rFonts w:hAnsi="Arial" w:cs="Arial"/>
                <w:b/>
                <w:bCs/>
                <w:iCs/>
                <w:sz w:val="20"/>
                <w:szCs w:val="20"/>
                <w:lang w:val="en-GB"/>
              </w:rPr>
            </w:pPr>
            <w:r w:rsidRPr="00E87719">
              <w:rPr>
                <w:rFonts w:hAnsi="Arial" w:cs="Arial"/>
                <w:sz w:val="20"/>
                <w:szCs w:val="20"/>
                <w:lang w:val="en-GB"/>
              </w:rPr>
              <w:t>7061</w:t>
            </w:r>
          </w:p>
        </w:tc>
        <w:tc>
          <w:tcPr>
            <w:tcW w:w="0" w:type="auto"/>
          </w:tcPr>
          <w:p w14:paraId="4AA282EB" w14:textId="77777777" w:rsidR="003327CE" w:rsidRPr="00E87719" w:rsidRDefault="003327CE" w:rsidP="00E87719">
            <w:pPr>
              <w:pStyle w:val="Body"/>
              <w:pBdr>
                <w:top w:val="none" w:sz="0" w:space="0" w:color="auto"/>
                <w:left w:val="none" w:sz="0" w:space="0" w:color="auto"/>
                <w:bottom w:val="none" w:sz="0" w:space="0" w:color="auto"/>
                <w:right w:val="none" w:sz="0" w:space="0" w:color="auto"/>
                <w:bar w:val="none" w:sz="0" w:color="auto"/>
              </w:pBdr>
              <w:spacing w:before="0"/>
              <w:jc w:val="right"/>
              <w:rPr>
                <w:rFonts w:hAnsi="Arial" w:cs="Arial"/>
                <w:b/>
                <w:bCs/>
                <w:iCs/>
                <w:sz w:val="20"/>
                <w:szCs w:val="20"/>
                <w:lang w:val="en-GB"/>
              </w:rPr>
            </w:pPr>
            <w:r w:rsidRPr="00E87719">
              <w:rPr>
                <w:rFonts w:hAnsi="Arial" w:cs="Arial"/>
                <w:sz w:val="20"/>
                <w:szCs w:val="20"/>
                <w:lang w:val="en-GB"/>
              </w:rPr>
              <w:t>2.0</w:t>
            </w:r>
          </w:p>
        </w:tc>
      </w:tr>
      <w:tr w:rsidR="003327CE" w:rsidRPr="00E87719" w14:paraId="7E759E6B" w14:textId="77777777" w:rsidTr="00265A49">
        <w:trPr>
          <w:trHeight w:val="209"/>
        </w:trPr>
        <w:tc>
          <w:tcPr>
            <w:tcW w:w="0" w:type="auto"/>
          </w:tcPr>
          <w:p w14:paraId="2E24D97E" w14:textId="77777777" w:rsidR="003327CE" w:rsidRPr="00E87719" w:rsidRDefault="003327CE" w:rsidP="00E7110E">
            <w:pPr>
              <w:pStyle w:val="Body"/>
              <w:pBdr>
                <w:top w:val="none" w:sz="0" w:space="0" w:color="auto"/>
                <w:left w:val="none" w:sz="0" w:space="0" w:color="auto"/>
                <w:bottom w:val="none" w:sz="0" w:space="0" w:color="auto"/>
                <w:right w:val="none" w:sz="0" w:space="0" w:color="auto"/>
                <w:bar w:val="none" w:sz="0" w:color="auto"/>
              </w:pBdr>
              <w:spacing w:before="0"/>
              <w:rPr>
                <w:rFonts w:hAnsi="Arial" w:cs="Arial"/>
                <w:sz w:val="20"/>
                <w:szCs w:val="20"/>
                <w:lang w:val="en-GB"/>
              </w:rPr>
            </w:pPr>
            <w:r w:rsidRPr="00E87719">
              <w:rPr>
                <w:rFonts w:hAnsi="Arial" w:cs="Arial"/>
                <w:sz w:val="20"/>
                <w:szCs w:val="20"/>
                <w:lang w:val="en-GB"/>
              </w:rPr>
              <w:t>Total</w:t>
            </w:r>
          </w:p>
        </w:tc>
        <w:tc>
          <w:tcPr>
            <w:tcW w:w="0" w:type="auto"/>
          </w:tcPr>
          <w:p w14:paraId="56B874D0" w14:textId="77777777" w:rsidR="003327CE" w:rsidRPr="00E87719" w:rsidRDefault="003327CE" w:rsidP="00E87719">
            <w:pPr>
              <w:pStyle w:val="Body"/>
              <w:pBdr>
                <w:top w:val="none" w:sz="0" w:space="0" w:color="auto"/>
                <w:left w:val="none" w:sz="0" w:space="0" w:color="auto"/>
                <w:bottom w:val="none" w:sz="0" w:space="0" w:color="auto"/>
                <w:right w:val="none" w:sz="0" w:space="0" w:color="auto"/>
                <w:bar w:val="none" w:sz="0" w:color="auto"/>
              </w:pBdr>
              <w:spacing w:before="0"/>
              <w:jc w:val="right"/>
              <w:rPr>
                <w:rFonts w:hAnsi="Arial" w:cs="Arial"/>
                <w:b/>
                <w:bCs/>
                <w:iCs/>
                <w:sz w:val="20"/>
                <w:szCs w:val="20"/>
                <w:lang w:val="en-GB"/>
              </w:rPr>
            </w:pPr>
            <w:r w:rsidRPr="00E87719">
              <w:rPr>
                <w:rFonts w:hAnsi="Arial" w:cs="Arial"/>
                <w:sz w:val="20"/>
                <w:szCs w:val="20"/>
                <w:lang w:val="en-GB"/>
              </w:rPr>
              <w:t>328017</w:t>
            </w:r>
          </w:p>
        </w:tc>
        <w:tc>
          <w:tcPr>
            <w:tcW w:w="0" w:type="auto"/>
          </w:tcPr>
          <w:p w14:paraId="7D6638AF" w14:textId="77777777" w:rsidR="003327CE" w:rsidRPr="00E87719" w:rsidRDefault="003327CE" w:rsidP="00E87719">
            <w:pPr>
              <w:pStyle w:val="Body"/>
              <w:pBdr>
                <w:top w:val="none" w:sz="0" w:space="0" w:color="auto"/>
                <w:left w:val="none" w:sz="0" w:space="0" w:color="auto"/>
                <w:bottom w:val="none" w:sz="0" w:space="0" w:color="auto"/>
                <w:right w:val="none" w:sz="0" w:space="0" w:color="auto"/>
                <w:bar w:val="none" w:sz="0" w:color="auto"/>
              </w:pBdr>
              <w:spacing w:before="0"/>
              <w:jc w:val="right"/>
              <w:rPr>
                <w:rFonts w:hAnsi="Arial" w:cs="Arial"/>
                <w:b/>
                <w:bCs/>
                <w:iCs/>
                <w:sz w:val="20"/>
                <w:szCs w:val="20"/>
                <w:lang w:val="en-GB"/>
              </w:rPr>
            </w:pPr>
            <w:r w:rsidRPr="00E87719">
              <w:rPr>
                <w:rFonts w:hAnsi="Arial" w:cs="Arial"/>
                <w:sz w:val="20"/>
                <w:szCs w:val="20"/>
                <w:lang w:val="en-GB"/>
              </w:rPr>
              <w:t>100.0</w:t>
            </w:r>
          </w:p>
        </w:tc>
        <w:tc>
          <w:tcPr>
            <w:tcW w:w="0" w:type="auto"/>
          </w:tcPr>
          <w:p w14:paraId="55998BB5" w14:textId="77777777" w:rsidR="003327CE" w:rsidRPr="00E87719" w:rsidRDefault="003327CE" w:rsidP="00E87719">
            <w:pPr>
              <w:pStyle w:val="Body"/>
              <w:pBdr>
                <w:top w:val="none" w:sz="0" w:space="0" w:color="auto"/>
                <w:left w:val="none" w:sz="0" w:space="0" w:color="auto"/>
                <w:bottom w:val="none" w:sz="0" w:space="0" w:color="auto"/>
                <w:right w:val="none" w:sz="0" w:space="0" w:color="auto"/>
                <w:bar w:val="none" w:sz="0" w:color="auto"/>
              </w:pBdr>
              <w:spacing w:before="0"/>
              <w:jc w:val="right"/>
              <w:rPr>
                <w:rFonts w:hAnsi="Arial" w:cs="Arial"/>
                <w:b/>
                <w:bCs/>
                <w:iCs/>
                <w:sz w:val="20"/>
                <w:szCs w:val="20"/>
                <w:lang w:val="en-GB"/>
              </w:rPr>
            </w:pPr>
            <w:r w:rsidRPr="00E87719">
              <w:rPr>
                <w:rFonts w:hAnsi="Arial" w:cs="Arial"/>
                <w:sz w:val="20"/>
                <w:szCs w:val="20"/>
                <w:lang w:val="en-GB"/>
              </w:rPr>
              <w:t>27687</w:t>
            </w:r>
          </w:p>
        </w:tc>
        <w:tc>
          <w:tcPr>
            <w:tcW w:w="0" w:type="auto"/>
          </w:tcPr>
          <w:p w14:paraId="7E917B96" w14:textId="77777777" w:rsidR="003327CE" w:rsidRPr="00E87719" w:rsidRDefault="003327CE" w:rsidP="00E87719">
            <w:pPr>
              <w:pStyle w:val="Body"/>
              <w:pBdr>
                <w:top w:val="none" w:sz="0" w:space="0" w:color="auto"/>
                <w:left w:val="none" w:sz="0" w:space="0" w:color="auto"/>
                <w:bottom w:val="none" w:sz="0" w:space="0" w:color="auto"/>
                <w:right w:val="none" w:sz="0" w:space="0" w:color="auto"/>
                <w:bar w:val="none" w:sz="0" w:color="auto"/>
              </w:pBdr>
              <w:spacing w:before="0"/>
              <w:jc w:val="right"/>
              <w:rPr>
                <w:rFonts w:hAnsi="Arial" w:cs="Arial"/>
                <w:b/>
                <w:bCs/>
                <w:iCs/>
                <w:sz w:val="20"/>
                <w:szCs w:val="20"/>
                <w:lang w:val="en-GB"/>
              </w:rPr>
            </w:pPr>
            <w:r w:rsidRPr="00E87719">
              <w:rPr>
                <w:rFonts w:hAnsi="Arial" w:cs="Arial"/>
                <w:sz w:val="20"/>
                <w:szCs w:val="20"/>
                <w:lang w:val="en-GB"/>
              </w:rPr>
              <w:t>100.0</w:t>
            </w:r>
          </w:p>
        </w:tc>
        <w:tc>
          <w:tcPr>
            <w:tcW w:w="0" w:type="auto"/>
          </w:tcPr>
          <w:p w14:paraId="2E3F2BB8" w14:textId="77777777" w:rsidR="003327CE" w:rsidRPr="00E87719" w:rsidRDefault="003327CE" w:rsidP="00E87719">
            <w:pPr>
              <w:pStyle w:val="Body"/>
              <w:pBdr>
                <w:top w:val="none" w:sz="0" w:space="0" w:color="auto"/>
                <w:left w:val="none" w:sz="0" w:space="0" w:color="auto"/>
                <w:bottom w:val="none" w:sz="0" w:space="0" w:color="auto"/>
                <w:right w:val="none" w:sz="0" w:space="0" w:color="auto"/>
                <w:bar w:val="none" w:sz="0" w:color="auto"/>
              </w:pBdr>
              <w:spacing w:before="0"/>
              <w:jc w:val="right"/>
              <w:rPr>
                <w:rFonts w:hAnsi="Arial" w:cs="Arial"/>
                <w:b/>
                <w:bCs/>
                <w:iCs/>
                <w:sz w:val="20"/>
                <w:szCs w:val="20"/>
                <w:lang w:val="en-GB"/>
              </w:rPr>
            </w:pPr>
            <w:r w:rsidRPr="00E87719">
              <w:rPr>
                <w:rFonts w:hAnsi="Arial" w:cs="Arial"/>
                <w:sz w:val="20"/>
                <w:szCs w:val="20"/>
                <w:lang w:val="en-GB"/>
              </w:rPr>
              <w:t>355704</w:t>
            </w:r>
          </w:p>
        </w:tc>
        <w:tc>
          <w:tcPr>
            <w:tcW w:w="0" w:type="auto"/>
          </w:tcPr>
          <w:p w14:paraId="487CFFFE" w14:textId="77777777" w:rsidR="003327CE" w:rsidRPr="00E87719" w:rsidRDefault="003327CE" w:rsidP="00E87719">
            <w:pPr>
              <w:pStyle w:val="Body"/>
              <w:pBdr>
                <w:top w:val="none" w:sz="0" w:space="0" w:color="auto"/>
                <w:left w:val="none" w:sz="0" w:space="0" w:color="auto"/>
                <w:bottom w:val="none" w:sz="0" w:space="0" w:color="auto"/>
                <w:right w:val="none" w:sz="0" w:space="0" w:color="auto"/>
                <w:bar w:val="none" w:sz="0" w:color="auto"/>
              </w:pBdr>
              <w:spacing w:before="0"/>
              <w:jc w:val="right"/>
              <w:rPr>
                <w:rFonts w:hAnsi="Arial" w:cs="Arial"/>
                <w:b/>
                <w:bCs/>
                <w:iCs/>
                <w:sz w:val="20"/>
                <w:szCs w:val="20"/>
                <w:lang w:val="en-GB"/>
              </w:rPr>
            </w:pPr>
            <w:r w:rsidRPr="00E87719">
              <w:rPr>
                <w:rFonts w:hAnsi="Arial" w:cs="Arial"/>
                <w:sz w:val="20"/>
                <w:szCs w:val="20"/>
                <w:lang w:val="en-GB"/>
              </w:rPr>
              <w:t>100.0</w:t>
            </w:r>
          </w:p>
        </w:tc>
      </w:tr>
    </w:tbl>
    <w:p w14:paraId="5BA3920D" w14:textId="77777777" w:rsidR="002C6495" w:rsidRPr="00003EC0" w:rsidRDefault="002C6495" w:rsidP="00E87719">
      <w:pPr>
        <w:pStyle w:val="Body"/>
        <w:widowControl w:val="0"/>
        <w:pBdr>
          <w:top w:val="none" w:sz="0" w:space="0" w:color="auto"/>
          <w:left w:val="none" w:sz="0" w:space="0" w:color="auto"/>
          <w:bottom w:val="none" w:sz="0" w:space="0" w:color="auto"/>
          <w:right w:val="none" w:sz="0" w:space="0" w:color="auto"/>
          <w:bar w:val="none" w:sz="0" w:color="auto"/>
        </w:pBdr>
        <w:spacing w:before="0" w:line="240" w:lineRule="auto"/>
        <w:jc w:val="both"/>
        <w:rPr>
          <w:rFonts w:hAnsi="Arial" w:cs="Arial"/>
          <w:b/>
          <w:bCs/>
          <w:lang w:val="en-GB"/>
        </w:rPr>
      </w:pPr>
    </w:p>
    <w:p w14:paraId="13CE37B6" w14:textId="5C7CEF1B" w:rsidR="00E87719" w:rsidRDefault="00E87719" w:rsidP="00E87719">
      <w:pPr>
        <w:pStyle w:val="Caption"/>
        <w:keepNext/>
      </w:pPr>
      <w:r>
        <w:t xml:space="preserve">Table </w:t>
      </w:r>
      <w:r w:rsidR="002C6495">
        <w:rPr>
          <w:noProof/>
        </w:rPr>
        <w:fldChar w:fldCharType="begin"/>
      </w:r>
      <w:r w:rsidR="002C6495">
        <w:rPr>
          <w:noProof/>
        </w:rPr>
        <w:instrText xml:space="preserve"> SEQ Table \* ARABIC </w:instrText>
      </w:r>
      <w:r w:rsidR="002C6495">
        <w:rPr>
          <w:noProof/>
        </w:rPr>
        <w:fldChar w:fldCharType="separate"/>
      </w:r>
      <w:r w:rsidR="00FE3D2A">
        <w:rPr>
          <w:noProof/>
        </w:rPr>
        <w:t>13</w:t>
      </w:r>
      <w:r w:rsidR="002C6495">
        <w:rPr>
          <w:noProof/>
        </w:rPr>
        <w:fldChar w:fldCharType="end"/>
      </w:r>
      <w:r>
        <w:t xml:space="preserve">: </w:t>
      </w:r>
      <w:r w:rsidRPr="00422620">
        <w:t>Labour Status of Disabled Men and Women (2011 Census)</w:t>
      </w:r>
    </w:p>
    <w:tbl>
      <w:tblPr>
        <w:tblStyle w:val="TableGrid1"/>
        <w:tblpPr w:leftFromText="180" w:rightFromText="180" w:vertAnchor="text" w:horzAnchor="margin" w:tblpY="183"/>
        <w:tblW w:w="0" w:type="auto"/>
        <w:tblLook w:val="00A0" w:firstRow="1" w:lastRow="0" w:firstColumn="1" w:lastColumn="0" w:noHBand="0" w:noVBand="0"/>
      </w:tblPr>
      <w:tblGrid>
        <w:gridCol w:w="3761"/>
        <w:gridCol w:w="773"/>
        <w:gridCol w:w="1054"/>
        <w:gridCol w:w="773"/>
        <w:gridCol w:w="1054"/>
        <w:gridCol w:w="773"/>
        <w:gridCol w:w="1054"/>
      </w:tblGrid>
      <w:tr w:rsidR="003327CE" w:rsidRPr="00265A49" w14:paraId="126D389E" w14:textId="77777777" w:rsidTr="00265A49">
        <w:trPr>
          <w:trHeight w:val="260"/>
        </w:trPr>
        <w:tc>
          <w:tcPr>
            <w:tcW w:w="0" w:type="auto"/>
            <w:vMerge w:val="restart"/>
          </w:tcPr>
          <w:p w14:paraId="7D9BF9F6" w14:textId="77777777" w:rsidR="003327CE" w:rsidRPr="00265A49" w:rsidRDefault="003327CE" w:rsidP="00E7110E">
            <w:pPr>
              <w:pStyle w:val="Body"/>
              <w:keepNext/>
              <w:keepLines/>
              <w:pBdr>
                <w:top w:val="none" w:sz="0" w:space="0" w:color="auto"/>
                <w:left w:val="none" w:sz="0" w:space="0" w:color="auto"/>
                <w:bottom w:val="none" w:sz="0" w:space="0" w:color="auto"/>
                <w:right w:val="none" w:sz="0" w:space="0" w:color="auto"/>
                <w:bar w:val="none" w:sz="0" w:color="auto"/>
              </w:pBdr>
              <w:spacing w:before="0"/>
              <w:outlineLvl w:val="5"/>
              <w:rPr>
                <w:rFonts w:hAnsi="Arial" w:cs="Arial"/>
                <w:sz w:val="20"/>
                <w:szCs w:val="20"/>
                <w:lang w:val="en-GB"/>
              </w:rPr>
            </w:pPr>
            <w:r w:rsidRPr="00265A49">
              <w:rPr>
                <w:rFonts w:hAnsi="Arial" w:cs="Arial"/>
                <w:sz w:val="20"/>
                <w:szCs w:val="20"/>
                <w:lang w:val="en-GB"/>
              </w:rPr>
              <w:t> </w:t>
            </w:r>
          </w:p>
        </w:tc>
        <w:tc>
          <w:tcPr>
            <w:tcW w:w="0" w:type="auto"/>
            <w:gridSpan w:val="2"/>
          </w:tcPr>
          <w:p w14:paraId="63D160A7" w14:textId="77777777" w:rsidR="003327CE" w:rsidRPr="00265A49" w:rsidRDefault="003327CE" w:rsidP="00265A49">
            <w:pPr>
              <w:pStyle w:val="Body"/>
              <w:pBdr>
                <w:top w:val="none" w:sz="0" w:space="0" w:color="auto"/>
                <w:left w:val="none" w:sz="0" w:space="0" w:color="auto"/>
                <w:bottom w:val="none" w:sz="0" w:space="0" w:color="auto"/>
                <w:right w:val="none" w:sz="0" w:space="0" w:color="auto"/>
                <w:bar w:val="none" w:sz="0" w:color="auto"/>
              </w:pBdr>
              <w:spacing w:before="0"/>
              <w:jc w:val="center"/>
              <w:rPr>
                <w:rFonts w:hAnsi="Arial" w:cs="Arial"/>
                <w:sz w:val="20"/>
                <w:szCs w:val="20"/>
                <w:lang w:val="en-GB"/>
              </w:rPr>
            </w:pPr>
            <w:r w:rsidRPr="00265A49">
              <w:rPr>
                <w:rFonts w:hAnsi="Arial" w:cs="Arial"/>
                <w:sz w:val="20"/>
                <w:szCs w:val="20"/>
                <w:lang w:val="en-GB"/>
              </w:rPr>
              <w:t>Male</w:t>
            </w:r>
          </w:p>
        </w:tc>
        <w:tc>
          <w:tcPr>
            <w:tcW w:w="0" w:type="auto"/>
            <w:gridSpan w:val="2"/>
          </w:tcPr>
          <w:p w14:paraId="7275E478" w14:textId="77777777" w:rsidR="003327CE" w:rsidRPr="00265A49" w:rsidRDefault="003327CE" w:rsidP="00265A49">
            <w:pPr>
              <w:pStyle w:val="Body"/>
              <w:pBdr>
                <w:top w:val="none" w:sz="0" w:space="0" w:color="auto"/>
                <w:left w:val="none" w:sz="0" w:space="0" w:color="auto"/>
                <w:bottom w:val="none" w:sz="0" w:space="0" w:color="auto"/>
                <w:right w:val="none" w:sz="0" w:space="0" w:color="auto"/>
                <w:bar w:val="none" w:sz="0" w:color="auto"/>
              </w:pBdr>
              <w:spacing w:before="0"/>
              <w:jc w:val="center"/>
              <w:rPr>
                <w:rFonts w:hAnsi="Arial" w:cs="Arial"/>
                <w:sz w:val="20"/>
                <w:szCs w:val="20"/>
                <w:lang w:val="en-GB"/>
              </w:rPr>
            </w:pPr>
            <w:r w:rsidRPr="00265A49">
              <w:rPr>
                <w:rFonts w:hAnsi="Arial" w:cs="Arial"/>
                <w:sz w:val="20"/>
                <w:szCs w:val="20"/>
                <w:lang w:val="en-GB"/>
              </w:rPr>
              <w:t>Female</w:t>
            </w:r>
          </w:p>
        </w:tc>
        <w:tc>
          <w:tcPr>
            <w:tcW w:w="0" w:type="auto"/>
            <w:gridSpan w:val="2"/>
          </w:tcPr>
          <w:p w14:paraId="2FCACED3" w14:textId="77777777" w:rsidR="003327CE" w:rsidRPr="00265A49" w:rsidRDefault="003327CE" w:rsidP="00265A49">
            <w:pPr>
              <w:pStyle w:val="Body"/>
              <w:pBdr>
                <w:top w:val="none" w:sz="0" w:space="0" w:color="auto"/>
                <w:left w:val="none" w:sz="0" w:space="0" w:color="auto"/>
                <w:bottom w:val="none" w:sz="0" w:space="0" w:color="auto"/>
                <w:right w:val="none" w:sz="0" w:space="0" w:color="auto"/>
                <w:bar w:val="none" w:sz="0" w:color="auto"/>
              </w:pBdr>
              <w:spacing w:before="0"/>
              <w:jc w:val="center"/>
              <w:rPr>
                <w:rFonts w:hAnsi="Arial" w:cs="Arial"/>
                <w:sz w:val="20"/>
                <w:szCs w:val="20"/>
                <w:lang w:val="en-GB"/>
              </w:rPr>
            </w:pPr>
            <w:r w:rsidRPr="00265A49">
              <w:rPr>
                <w:rFonts w:hAnsi="Arial" w:cs="Arial"/>
                <w:sz w:val="20"/>
                <w:szCs w:val="20"/>
                <w:lang w:val="en-GB"/>
              </w:rPr>
              <w:t>Total</w:t>
            </w:r>
          </w:p>
        </w:tc>
      </w:tr>
      <w:tr w:rsidR="003327CE" w:rsidRPr="00265A49" w14:paraId="689F8526" w14:textId="77777777" w:rsidTr="00265A49">
        <w:trPr>
          <w:trHeight w:val="414"/>
        </w:trPr>
        <w:tc>
          <w:tcPr>
            <w:tcW w:w="0" w:type="auto"/>
            <w:vMerge/>
          </w:tcPr>
          <w:p w14:paraId="0321AF36" w14:textId="77777777" w:rsidR="003327CE" w:rsidRPr="00265A49" w:rsidRDefault="003327CE" w:rsidP="00E7110E">
            <w:pPr>
              <w:rPr>
                <w:sz w:val="20"/>
                <w:szCs w:val="20"/>
              </w:rPr>
            </w:pPr>
          </w:p>
        </w:tc>
        <w:tc>
          <w:tcPr>
            <w:tcW w:w="0" w:type="auto"/>
          </w:tcPr>
          <w:p w14:paraId="3E4B6BBB" w14:textId="77777777" w:rsidR="003327CE" w:rsidRPr="00265A49" w:rsidRDefault="003327CE" w:rsidP="00265A49">
            <w:pPr>
              <w:pStyle w:val="Body"/>
              <w:pBdr>
                <w:top w:val="none" w:sz="0" w:space="0" w:color="auto"/>
                <w:left w:val="none" w:sz="0" w:space="0" w:color="auto"/>
                <w:bottom w:val="none" w:sz="0" w:space="0" w:color="auto"/>
                <w:right w:val="none" w:sz="0" w:space="0" w:color="auto"/>
                <w:bar w:val="none" w:sz="0" w:color="auto"/>
              </w:pBdr>
              <w:spacing w:before="0"/>
              <w:jc w:val="center"/>
              <w:rPr>
                <w:rFonts w:hAnsi="Arial" w:cs="Arial"/>
                <w:sz w:val="20"/>
                <w:szCs w:val="20"/>
                <w:lang w:val="en-GB"/>
              </w:rPr>
            </w:pPr>
            <w:r w:rsidRPr="00265A49">
              <w:rPr>
                <w:rFonts w:hAnsi="Arial" w:cs="Arial"/>
                <w:sz w:val="20"/>
                <w:szCs w:val="20"/>
                <w:lang w:val="en-GB"/>
              </w:rPr>
              <w:t>Count</w:t>
            </w:r>
          </w:p>
        </w:tc>
        <w:tc>
          <w:tcPr>
            <w:tcW w:w="0" w:type="auto"/>
          </w:tcPr>
          <w:p w14:paraId="6E70B8DA" w14:textId="77777777" w:rsidR="003327CE" w:rsidRPr="00265A49" w:rsidRDefault="003327CE" w:rsidP="00265A49">
            <w:pPr>
              <w:pStyle w:val="Body"/>
              <w:pBdr>
                <w:top w:val="none" w:sz="0" w:space="0" w:color="auto"/>
                <w:left w:val="none" w:sz="0" w:space="0" w:color="auto"/>
                <w:bottom w:val="none" w:sz="0" w:space="0" w:color="auto"/>
                <w:right w:val="none" w:sz="0" w:space="0" w:color="auto"/>
                <w:bar w:val="none" w:sz="0" w:color="auto"/>
              </w:pBdr>
              <w:spacing w:before="0"/>
              <w:jc w:val="center"/>
              <w:rPr>
                <w:rFonts w:hAnsi="Arial" w:cs="Arial"/>
                <w:sz w:val="20"/>
                <w:szCs w:val="20"/>
                <w:lang w:val="en-GB"/>
              </w:rPr>
            </w:pPr>
            <w:r w:rsidRPr="00265A49">
              <w:rPr>
                <w:rFonts w:hAnsi="Arial" w:cs="Arial"/>
                <w:sz w:val="20"/>
                <w:szCs w:val="20"/>
                <w:lang w:val="en-GB"/>
              </w:rPr>
              <w:t>Column %</w:t>
            </w:r>
          </w:p>
        </w:tc>
        <w:tc>
          <w:tcPr>
            <w:tcW w:w="0" w:type="auto"/>
          </w:tcPr>
          <w:p w14:paraId="757084D1" w14:textId="77777777" w:rsidR="003327CE" w:rsidRPr="00265A49" w:rsidRDefault="003327CE" w:rsidP="00265A49">
            <w:pPr>
              <w:pStyle w:val="Body"/>
              <w:pBdr>
                <w:top w:val="none" w:sz="0" w:space="0" w:color="auto"/>
                <w:left w:val="none" w:sz="0" w:space="0" w:color="auto"/>
                <w:bottom w:val="none" w:sz="0" w:space="0" w:color="auto"/>
                <w:right w:val="none" w:sz="0" w:space="0" w:color="auto"/>
                <w:bar w:val="none" w:sz="0" w:color="auto"/>
              </w:pBdr>
              <w:spacing w:before="0"/>
              <w:jc w:val="center"/>
              <w:rPr>
                <w:rFonts w:hAnsi="Arial" w:cs="Arial"/>
                <w:sz w:val="20"/>
                <w:szCs w:val="20"/>
                <w:lang w:val="en-GB"/>
              </w:rPr>
            </w:pPr>
            <w:r w:rsidRPr="00265A49">
              <w:rPr>
                <w:rFonts w:hAnsi="Arial" w:cs="Arial"/>
                <w:sz w:val="20"/>
                <w:szCs w:val="20"/>
                <w:lang w:val="en-GB"/>
              </w:rPr>
              <w:t>Count</w:t>
            </w:r>
          </w:p>
        </w:tc>
        <w:tc>
          <w:tcPr>
            <w:tcW w:w="0" w:type="auto"/>
          </w:tcPr>
          <w:p w14:paraId="78A44F6B" w14:textId="77777777" w:rsidR="003327CE" w:rsidRPr="00265A49" w:rsidRDefault="003327CE" w:rsidP="00265A49">
            <w:pPr>
              <w:pStyle w:val="Body"/>
              <w:pBdr>
                <w:top w:val="none" w:sz="0" w:space="0" w:color="auto"/>
                <w:left w:val="none" w:sz="0" w:space="0" w:color="auto"/>
                <w:bottom w:val="none" w:sz="0" w:space="0" w:color="auto"/>
                <w:right w:val="none" w:sz="0" w:space="0" w:color="auto"/>
                <w:bar w:val="none" w:sz="0" w:color="auto"/>
              </w:pBdr>
              <w:spacing w:before="0"/>
              <w:jc w:val="center"/>
              <w:rPr>
                <w:rFonts w:hAnsi="Arial" w:cs="Arial"/>
                <w:sz w:val="20"/>
                <w:szCs w:val="20"/>
                <w:lang w:val="en-GB"/>
              </w:rPr>
            </w:pPr>
            <w:r w:rsidRPr="00265A49">
              <w:rPr>
                <w:rFonts w:hAnsi="Arial" w:cs="Arial"/>
                <w:sz w:val="20"/>
                <w:szCs w:val="20"/>
                <w:lang w:val="en-GB"/>
              </w:rPr>
              <w:t>Column %</w:t>
            </w:r>
          </w:p>
        </w:tc>
        <w:tc>
          <w:tcPr>
            <w:tcW w:w="0" w:type="auto"/>
          </w:tcPr>
          <w:p w14:paraId="5287A1B3" w14:textId="77777777" w:rsidR="003327CE" w:rsidRPr="00265A49" w:rsidRDefault="003327CE" w:rsidP="00265A49">
            <w:pPr>
              <w:pStyle w:val="Body"/>
              <w:pBdr>
                <w:top w:val="none" w:sz="0" w:space="0" w:color="auto"/>
                <w:left w:val="none" w:sz="0" w:space="0" w:color="auto"/>
                <w:bottom w:val="none" w:sz="0" w:space="0" w:color="auto"/>
                <w:right w:val="none" w:sz="0" w:space="0" w:color="auto"/>
                <w:bar w:val="none" w:sz="0" w:color="auto"/>
              </w:pBdr>
              <w:spacing w:before="0"/>
              <w:jc w:val="center"/>
              <w:rPr>
                <w:rFonts w:hAnsi="Arial" w:cs="Arial"/>
                <w:sz w:val="20"/>
                <w:szCs w:val="20"/>
                <w:lang w:val="en-GB"/>
              </w:rPr>
            </w:pPr>
            <w:r w:rsidRPr="00265A49">
              <w:rPr>
                <w:rFonts w:hAnsi="Arial" w:cs="Arial"/>
                <w:sz w:val="20"/>
                <w:szCs w:val="20"/>
                <w:lang w:val="en-GB"/>
              </w:rPr>
              <w:t>Count</w:t>
            </w:r>
          </w:p>
        </w:tc>
        <w:tc>
          <w:tcPr>
            <w:tcW w:w="0" w:type="auto"/>
          </w:tcPr>
          <w:p w14:paraId="3853242C" w14:textId="77777777" w:rsidR="003327CE" w:rsidRPr="00265A49" w:rsidRDefault="003327CE" w:rsidP="00265A49">
            <w:pPr>
              <w:pStyle w:val="Body"/>
              <w:pBdr>
                <w:top w:val="none" w:sz="0" w:space="0" w:color="auto"/>
                <w:left w:val="none" w:sz="0" w:space="0" w:color="auto"/>
                <w:bottom w:val="none" w:sz="0" w:space="0" w:color="auto"/>
                <w:right w:val="none" w:sz="0" w:space="0" w:color="auto"/>
                <w:bar w:val="none" w:sz="0" w:color="auto"/>
              </w:pBdr>
              <w:spacing w:before="0"/>
              <w:jc w:val="center"/>
              <w:rPr>
                <w:rFonts w:hAnsi="Arial" w:cs="Arial"/>
                <w:sz w:val="20"/>
                <w:szCs w:val="20"/>
                <w:lang w:val="en-GB"/>
              </w:rPr>
            </w:pPr>
            <w:r w:rsidRPr="00265A49">
              <w:rPr>
                <w:rFonts w:hAnsi="Arial" w:cs="Arial"/>
                <w:sz w:val="20"/>
                <w:szCs w:val="20"/>
                <w:lang w:val="en-GB"/>
              </w:rPr>
              <w:t>Column %</w:t>
            </w:r>
          </w:p>
        </w:tc>
      </w:tr>
      <w:tr w:rsidR="003327CE" w:rsidRPr="00265A49" w14:paraId="0B5EE1F2" w14:textId="77777777" w:rsidTr="00265A49">
        <w:trPr>
          <w:trHeight w:val="409"/>
        </w:trPr>
        <w:tc>
          <w:tcPr>
            <w:tcW w:w="0" w:type="auto"/>
          </w:tcPr>
          <w:p w14:paraId="4AC3E27D" w14:textId="77777777" w:rsidR="003327CE" w:rsidRPr="00265A49" w:rsidRDefault="003327CE" w:rsidP="00E7110E">
            <w:pPr>
              <w:pStyle w:val="Body"/>
              <w:pBdr>
                <w:top w:val="none" w:sz="0" w:space="0" w:color="auto"/>
                <w:left w:val="none" w:sz="0" w:space="0" w:color="auto"/>
                <w:bottom w:val="none" w:sz="0" w:space="0" w:color="auto"/>
                <w:right w:val="none" w:sz="0" w:space="0" w:color="auto"/>
                <w:bar w:val="none" w:sz="0" w:color="auto"/>
              </w:pBdr>
              <w:spacing w:before="0"/>
              <w:rPr>
                <w:rFonts w:hAnsi="Arial" w:cs="Arial"/>
                <w:sz w:val="20"/>
                <w:szCs w:val="20"/>
                <w:lang w:val="en-GB"/>
              </w:rPr>
            </w:pPr>
            <w:r w:rsidRPr="00265A49">
              <w:rPr>
                <w:rFonts w:hAnsi="Arial" w:cs="Arial"/>
                <w:sz w:val="20"/>
                <w:szCs w:val="20"/>
                <w:lang w:val="en-GB"/>
              </w:rPr>
              <w:t>Employed</w:t>
            </w:r>
          </w:p>
        </w:tc>
        <w:tc>
          <w:tcPr>
            <w:tcW w:w="0" w:type="auto"/>
          </w:tcPr>
          <w:p w14:paraId="57D4AD86" w14:textId="77777777" w:rsidR="003327CE" w:rsidRPr="00265A49" w:rsidRDefault="003327CE" w:rsidP="00265A49">
            <w:pPr>
              <w:pStyle w:val="Body"/>
              <w:pBdr>
                <w:top w:val="none" w:sz="0" w:space="0" w:color="auto"/>
                <w:left w:val="none" w:sz="0" w:space="0" w:color="auto"/>
                <w:bottom w:val="none" w:sz="0" w:space="0" w:color="auto"/>
                <w:right w:val="none" w:sz="0" w:space="0" w:color="auto"/>
                <w:bar w:val="none" w:sz="0" w:color="auto"/>
              </w:pBdr>
              <w:spacing w:before="0"/>
              <w:jc w:val="right"/>
              <w:rPr>
                <w:rFonts w:hAnsi="Arial" w:cs="Arial"/>
                <w:b/>
                <w:bCs/>
                <w:iCs/>
                <w:sz w:val="20"/>
                <w:szCs w:val="20"/>
                <w:lang w:val="en-GB"/>
              </w:rPr>
            </w:pPr>
            <w:r w:rsidRPr="00265A49">
              <w:rPr>
                <w:rFonts w:hAnsi="Arial" w:cs="Arial"/>
                <w:sz w:val="20"/>
                <w:szCs w:val="20"/>
                <w:lang w:val="en-GB"/>
              </w:rPr>
              <w:t>3165</w:t>
            </w:r>
          </w:p>
        </w:tc>
        <w:tc>
          <w:tcPr>
            <w:tcW w:w="0" w:type="auto"/>
          </w:tcPr>
          <w:p w14:paraId="1511DEE6" w14:textId="77777777" w:rsidR="003327CE" w:rsidRPr="00265A49" w:rsidRDefault="003327CE" w:rsidP="00265A49">
            <w:pPr>
              <w:pStyle w:val="Body"/>
              <w:pBdr>
                <w:top w:val="none" w:sz="0" w:space="0" w:color="auto"/>
                <w:left w:val="none" w:sz="0" w:space="0" w:color="auto"/>
                <w:bottom w:val="none" w:sz="0" w:space="0" w:color="auto"/>
                <w:right w:val="none" w:sz="0" w:space="0" w:color="auto"/>
                <w:bar w:val="none" w:sz="0" w:color="auto"/>
              </w:pBdr>
              <w:spacing w:before="0"/>
              <w:jc w:val="right"/>
              <w:rPr>
                <w:rFonts w:hAnsi="Arial" w:cs="Arial"/>
                <w:b/>
                <w:bCs/>
                <w:iCs/>
                <w:sz w:val="20"/>
                <w:szCs w:val="20"/>
                <w:lang w:val="en-GB"/>
              </w:rPr>
            </w:pPr>
            <w:r w:rsidRPr="00265A49">
              <w:rPr>
                <w:rFonts w:hAnsi="Arial" w:cs="Arial"/>
                <w:sz w:val="20"/>
                <w:szCs w:val="20"/>
                <w:lang w:val="en-GB"/>
              </w:rPr>
              <w:t>23.4</w:t>
            </w:r>
          </w:p>
        </w:tc>
        <w:tc>
          <w:tcPr>
            <w:tcW w:w="0" w:type="auto"/>
          </w:tcPr>
          <w:p w14:paraId="69A0E2A3" w14:textId="77777777" w:rsidR="003327CE" w:rsidRPr="00265A49" w:rsidRDefault="003327CE" w:rsidP="00265A49">
            <w:pPr>
              <w:pStyle w:val="Body"/>
              <w:pBdr>
                <w:top w:val="none" w:sz="0" w:space="0" w:color="auto"/>
                <w:left w:val="none" w:sz="0" w:space="0" w:color="auto"/>
                <w:bottom w:val="none" w:sz="0" w:space="0" w:color="auto"/>
                <w:right w:val="none" w:sz="0" w:space="0" w:color="auto"/>
                <w:bar w:val="none" w:sz="0" w:color="auto"/>
              </w:pBdr>
              <w:spacing w:before="0"/>
              <w:jc w:val="right"/>
              <w:rPr>
                <w:rFonts w:hAnsi="Arial" w:cs="Arial"/>
                <w:b/>
                <w:bCs/>
                <w:iCs/>
                <w:sz w:val="20"/>
                <w:szCs w:val="20"/>
                <w:lang w:val="en-GB"/>
              </w:rPr>
            </w:pPr>
            <w:r w:rsidRPr="00265A49">
              <w:rPr>
                <w:rFonts w:hAnsi="Arial" w:cs="Arial"/>
                <w:sz w:val="20"/>
                <w:szCs w:val="20"/>
                <w:lang w:val="en-GB"/>
              </w:rPr>
              <w:t>1414</w:t>
            </w:r>
          </w:p>
        </w:tc>
        <w:tc>
          <w:tcPr>
            <w:tcW w:w="0" w:type="auto"/>
          </w:tcPr>
          <w:p w14:paraId="5C23732F" w14:textId="77777777" w:rsidR="003327CE" w:rsidRPr="00265A49" w:rsidRDefault="003327CE" w:rsidP="00265A49">
            <w:pPr>
              <w:pStyle w:val="Body"/>
              <w:pBdr>
                <w:top w:val="none" w:sz="0" w:space="0" w:color="auto"/>
                <w:left w:val="none" w:sz="0" w:space="0" w:color="auto"/>
                <w:bottom w:val="none" w:sz="0" w:space="0" w:color="auto"/>
                <w:right w:val="none" w:sz="0" w:space="0" w:color="auto"/>
                <w:bar w:val="none" w:sz="0" w:color="auto"/>
              </w:pBdr>
              <w:spacing w:before="0"/>
              <w:jc w:val="right"/>
              <w:rPr>
                <w:rFonts w:hAnsi="Arial" w:cs="Arial"/>
                <w:b/>
                <w:bCs/>
                <w:iCs/>
                <w:sz w:val="20"/>
                <w:szCs w:val="20"/>
                <w:lang w:val="en-GB"/>
              </w:rPr>
            </w:pPr>
            <w:r w:rsidRPr="00265A49">
              <w:rPr>
                <w:rFonts w:hAnsi="Arial" w:cs="Arial"/>
                <w:sz w:val="20"/>
                <w:szCs w:val="20"/>
                <w:lang w:val="en-GB"/>
              </w:rPr>
              <w:t>10.0</w:t>
            </w:r>
          </w:p>
        </w:tc>
        <w:tc>
          <w:tcPr>
            <w:tcW w:w="0" w:type="auto"/>
          </w:tcPr>
          <w:p w14:paraId="5706C876" w14:textId="77777777" w:rsidR="003327CE" w:rsidRPr="00265A49" w:rsidRDefault="003327CE" w:rsidP="00265A49">
            <w:pPr>
              <w:pStyle w:val="Body"/>
              <w:pBdr>
                <w:top w:val="none" w:sz="0" w:space="0" w:color="auto"/>
                <w:left w:val="none" w:sz="0" w:space="0" w:color="auto"/>
                <w:bottom w:val="none" w:sz="0" w:space="0" w:color="auto"/>
                <w:right w:val="none" w:sz="0" w:space="0" w:color="auto"/>
                <w:bar w:val="none" w:sz="0" w:color="auto"/>
              </w:pBdr>
              <w:spacing w:before="0"/>
              <w:jc w:val="right"/>
              <w:rPr>
                <w:rFonts w:hAnsi="Arial" w:cs="Arial"/>
                <w:b/>
                <w:bCs/>
                <w:iCs/>
                <w:sz w:val="20"/>
                <w:szCs w:val="20"/>
                <w:lang w:val="en-GB"/>
              </w:rPr>
            </w:pPr>
            <w:r w:rsidRPr="00265A49">
              <w:rPr>
                <w:rFonts w:hAnsi="Arial" w:cs="Arial"/>
                <w:sz w:val="20"/>
                <w:szCs w:val="20"/>
                <w:lang w:val="en-GB"/>
              </w:rPr>
              <w:t>4579</w:t>
            </w:r>
          </w:p>
        </w:tc>
        <w:tc>
          <w:tcPr>
            <w:tcW w:w="0" w:type="auto"/>
          </w:tcPr>
          <w:p w14:paraId="3A453068" w14:textId="77777777" w:rsidR="003327CE" w:rsidRPr="00265A49" w:rsidRDefault="003327CE" w:rsidP="00265A49">
            <w:pPr>
              <w:pStyle w:val="Body"/>
              <w:pBdr>
                <w:top w:val="none" w:sz="0" w:space="0" w:color="auto"/>
                <w:left w:val="none" w:sz="0" w:space="0" w:color="auto"/>
                <w:bottom w:val="none" w:sz="0" w:space="0" w:color="auto"/>
                <w:right w:val="none" w:sz="0" w:space="0" w:color="auto"/>
                <w:bar w:val="none" w:sz="0" w:color="auto"/>
              </w:pBdr>
              <w:spacing w:before="0"/>
              <w:jc w:val="right"/>
              <w:rPr>
                <w:rFonts w:hAnsi="Arial" w:cs="Arial"/>
                <w:b/>
                <w:bCs/>
                <w:iCs/>
                <w:sz w:val="20"/>
                <w:szCs w:val="20"/>
                <w:lang w:val="en-GB"/>
              </w:rPr>
            </w:pPr>
            <w:r w:rsidRPr="00265A49">
              <w:rPr>
                <w:rFonts w:hAnsi="Arial" w:cs="Arial"/>
                <w:sz w:val="20"/>
                <w:szCs w:val="20"/>
                <w:lang w:val="en-GB"/>
              </w:rPr>
              <w:t>16.5</w:t>
            </w:r>
          </w:p>
        </w:tc>
      </w:tr>
      <w:tr w:rsidR="003327CE" w:rsidRPr="00265A49" w14:paraId="13EA6328" w14:textId="77777777" w:rsidTr="00265A49">
        <w:trPr>
          <w:trHeight w:val="194"/>
        </w:trPr>
        <w:tc>
          <w:tcPr>
            <w:tcW w:w="0" w:type="auto"/>
          </w:tcPr>
          <w:p w14:paraId="520EC46C" w14:textId="77777777" w:rsidR="003327CE" w:rsidRPr="00265A49" w:rsidRDefault="003327CE" w:rsidP="00E7110E">
            <w:pPr>
              <w:pStyle w:val="Body"/>
              <w:pBdr>
                <w:top w:val="none" w:sz="0" w:space="0" w:color="auto"/>
                <w:left w:val="none" w:sz="0" w:space="0" w:color="auto"/>
                <w:bottom w:val="none" w:sz="0" w:space="0" w:color="auto"/>
                <w:right w:val="none" w:sz="0" w:space="0" w:color="auto"/>
                <w:bar w:val="none" w:sz="0" w:color="auto"/>
              </w:pBdr>
              <w:spacing w:before="0"/>
              <w:rPr>
                <w:rFonts w:hAnsi="Arial" w:cs="Arial"/>
                <w:sz w:val="20"/>
                <w:szCs w:val="20"/>
                <w:lang w:val="en-GB"/>
              </w:rPr>
            </w:pPr>
            <w:r w:rsidRPr="00265A49">
              <w:rPr>
                <w:rFonts w:hAnsi="Arial" w:cs="Arial"/>
                <w:sz w:val="20"/>
                <w:szCs w:val="20"/>
                <w:lang w:val="en-GB"/>
              </w:rPr>
              <w:t>Unemployed</w:t>
            </w:r>
          </w:p>
        </w:tc>
        <w:tc>
          <w:tcPr>
            <w:tcW w:w="0" w:type="auto"/>
          </w:tcPr>
          <w:p w14:paraId="1B925654" w14:textId="77777777" w:rsidR="003327CE" w:rsidRPr="00265A49" w:rsidRDefault="003327CE" w:rsidP="00265A49">
            <w:pPr>
              <w:pStyle w:val="Body"/>
              <w:pBdr>
                <w:top w:val="none" w:sz="0" w:space="0" w:color="auto"/>
                <w:left w:val="none" w:sz="0" w:space="0" w:color="auto"/>
                <w:bottom w:val="none" w:sz="0" w:space="0" w:color="auto"/>
                <w:right w:val="none" w:sz="0" w:space="0" w:color="auto"/>
                <w:bar w:val="none" w:sz="0" w:color="auto"/>
              </w:pBdr>
              <w:spacing w:before="0"/>
              <w:jc w:val="right"/>
              <w:rPr>
                <w:rFonts w:hAnsi="Arial" w:cs="Arial"/>
                <w:b/>
                <w:bCs/>
                <w:iCs/>
                <w:sz w:val="20"/>
                <w:szCs w:val="20"/>
                <w:lang w:val="en-GB"/>
              </w:rPr>
            </w:pPr>
            <w:r w:rsidRPr="00265A49">
              <w:rPr>
                <w:rFonts w:hAnsi="Arial" w:cs="Arial"/>
                <w:sz w:val="20"/>
                <w:szCs w:val="20"/>
                <w:lang w:val="en-GB"/>
              </w:rPr>
              <w:t>382</w:t>
            </w:r>
          </w:p>
        </w:tc>
        <w:tc>
          <w:tcPr>
            <w:tcW w:w="0" w:type="auto"/>
          </w:tcPr>
          <w:p w14:paraId="580687FD" w14:textId="77777777" w:rsidR="003327CE" w:rsidRPr="00265A49" w:rsidRDefault="003327CE" w:rsidP="00265A49">
            <w:pPr>
              <w:pStyle w:val="Body"/>
              <w:pBdr>
                <w:top w:val="none" w:sz="0" w:space="0" w:color="auto"/>
                <w:left w:val="none" w:sz="0" w:space="0" w:color="auto"/>
                <w:bottom w:val="none" w:sz="0" w:space="0" w:color="auto"/>
                <w:right w:val="none" w:sz="0" w:space="0" w:color="auto"/>
                <w:bar w:val="none" w:sz="0" w:color="auto"/>
              </w:pBdr>
              <w:spacing w:before="0"/>
              <w:jc w:val="right"/>
              <w:rPr>
                <w:rFonts w:hAnsi="Arial" w:cs="Arial"/>
                <w:b/>
                <w:bCs/>
                <w:iCs/>
                <w:sz w:val="20"/>
                <w:szCs w:val="20"/>
                <w:lang w:val="en-GB"/>
              </w:rPr>
            </w:pPr>
            <w:r w:rsidRPr="00265A49">
              <w:rPr>
                <w:rFonts w:hAnsi="Arial" w:cs="Arial"/>
                <w:sz w:val="20"/>
                <w:szCs w:val="20"/>
                <w:lang w:val="en-GB"/>
              </w:rPr>
              <w:t>2.8</w:t>
            </w:r>
          </w:p>
        </w:tc>
        <w:tc>
          <w:tcPr>
            <w:tcW w:w="0" w:type="auto"/>
          </w:tcPr>
          <w:p w14:paraId="0D9BECF3" w14:textId="77777777" w:rsidR="003327CE" w:rsidRPr="00265A49" w:rsidRDefault="003327CE" w:rsidP="00265A49">
            <w:pPr>
              <w:pStyle w:val="Body"/>
              <w:pBdr>
                <w:top w:val="none" w:sz="0" w:space="0" w:color="auto"/>
                <w:left w:val="none" w:sz="0" w:space="0" w:color="auto"/>
                <w:bottom w:val="none" w:sz="0" w:space="0" w:color="auto"/>
                <w:right w:val="none" w:sz="0" w:space="0" w:color="auto"/>
                <w:bar w:val="none" w:sz="0" w:color="auto"/>
              </w:pBdr>
              <w:spacing w:before="0"/>
              <w:jc w:val="right"/>
              <w:rPr>
                <w:rFonts w:hAnsi="Arial" w:cs="Arial"/>
                <w:b/>
                <w:bCs/>
                <w:iCs/>
                <w:sz w:val="20"/>
                <w:szCs w:val="20"/>
                <w:lang w:val="en-GB"/>
              </w:rPr>
            </w:pPr>
            <w:r w:rsidRPr="00265A49">
              <w:rPr>
                <w:rFonts w:hAnsi="Arial" w:cs="Arial"/>
                <w:sz w:val="20"/>
                <w:szCs w:val="20"/>
                <w:lang w:val="en-GB"/>
              </w:rPr>
              <w:t>185</w:t>
            </w:r>
          </w:p>
        </w:tc>
        <w:tc>
          <w:tcPr>
            <w:tcW w:w="0" w:type="auto"/>
          </w:tcPr>
          <w:p w14:paraId="31DDD94E" w14:textId="77777777" w:rsidR="003327CE" w:rsidRPr="00265A49" w:rsidRDefault="003327CE" w:rsidP="00265A49">
            <w:pPr>
              <w:pStyle w:val="Body"/>
              <w:pBdr>
                <w:top w:val="none" w:sz="0" w:space="0" w:color="auto"/>
                <w:left w:val="none" w:sz="0" w:space="0" w:color="auto"/>
                <w:bottom w:val="none" w:sz="0" w:space="0" w:color="auto"/>
                <w:right w:val="none" w:sz="0" w:space="0" w:color="auto"/>
                <w:bar w:val="none" w:sz="0" w:color="auto"/>
              </w:pBdr>
              <w:spacing w:before="0"/>
              <w:jc w:val="right"/>
              <w:rPr>
                <w:rFonts w:hAnsi="Arial" w:cs="Arial"/>
                <w:b/>
                <w:bCs/>
                <w:iCs/>
                <w:sz w:val="20"/>
                <w:szCs w:val="20"/>
                <w:lang w:val="en-GB"/>
              </w:rPr>
            </w:pPr>
            <w:r w:rsidRPr="00265A49">
              <w:rPr>
                <w:rFonts w:hAnsi="Arial" w:cs="Arial"/>
                <w:sz w:val="20"/>
                <w:szCs w:val="20"/>
                <w:lang w:val="en-GB"/>
              </w:rPr>
              <w:t>1.3</w:t>
            </w:r>
          </w:p>
        </w:tc>
        <w:tc>
          <w:tcPr>
            <w:tcW w:w="0" w:type="auto"/>
          </w:tcPr>
          <w:p w14:paraId="26E65390" w14:textId="77777777" w:rsidR="003327CE" w:rsidRPr="00265A49" w:rsidRDefault="003327CE" w:rsidP="00265A49">
            <w:pPr>
              <w:pStyle w:val="Body"/>
              <w:pBdr>
                <w:top w:val="none" w:sz="0" w:space="0" w:color="auto"/>
                <w:left w:val="none" w:sz="0" w:space="0" w:color="auto"/>
                <w:bottom w:val="none" w:sz="0" w:space="0" w:color="auto"/>
                <w:right w:val="none" w:sz="0" w:space="0" w:color="auto"/>
                <w:bar w:val="none" w:sz="0" w:color="auto"/>
              </w:pBdr>
              <w:spacing w:before="0"/>
              <w:jc w:val="right"/>
              <w:rPr>
                <w:rFonts w:hAnsi="Arial" w:cs="Arial"/>
                <w:b/>
                <w:bCs/>
                <w:iCs/>
                <w:sz w:val="20"/>
                <w:szCs w:val="20"/>
                <w:lang w:val="en-GB"/>
              </w:rPr>
            </w:pPr>
            <w:r w:rsidRPr="00265A49">
              <w:rPr>
                <w:rFonts w:hAnsi="Arial" w:cs="Arial"/>
                <w:sz w:val="20"/>
                <w:szCs w:val="20"/>
                <w:lang w:val="en-GB"/>
              </w:rPr>
              <w:t>567</w:t>
            </w:r>
          </w:p>
        </w:tc>
        <w:tc>
          <w:tcPr>
            <w:tcW w:w="0" w:type="auto"/>
          </w:tcPr>
          <w:p w14:paraId="6D208710" w14:textId="77777777" w:rsidR="003327CE" w:rsidRPr="00265A49" w:rsidRDefault="003327CE" w:rsidP="00265A49">
            <w:pPr>
              <w:pStyle w:val="Body"/>
              <w:pBdr>
                <w:top w:val="none" w:sz="0" w:space="0" w:color="auto"/>
                <w:left w:val="none" w:sz="0" w:space="0" w:color="auto"/>
                <w:bottom w:val="none" w:sz="0" w:space="0" w:color="auto"/>
                <w:right w:val="none" w:sz="0" w:space="0" w:color="auto"/>
                <w:bar w:val="none" w:sz="0" w:color="auto"/>
              </w:pBdr>
              <w:spacing w:before="0"/>
              <w:jc w:val="right"/>
              <w:rPr>
                <w:rFonts w:hAnsi="Arial" w:cs="Arial"/>
                <w:b/>
                <w:bCs/>
                <w:iCs/>
                <w:sz w:val="20"/>
                <w:szCs w:val="20"/>
                <w:lang w:val="en-GB"/>
              </w:rPr>
            </w:pPr>
            <w:r w:rsidRPr="00265A49">
              <w:rPr>
                <w:rFonts w:hAnsi="Arial" w:cs="Arial"/>
                <w:sz w:val="20"/>
                <w:szCs w:val="20"/>
                <w:lang w:val="en-GB"/>
              </w:rPr>
              <w:t>2.0</w:t>
            </w:r>
          </w:p>
        </w:tc>
      </w:tr>
      <w:tr w:rsidR="003327CE" w:rsidRPr="00265A49" w14:paraId="737EEB13" w14:textId="77777777" w:rsidTr="00265A49">
        <w:trPr>
          <w:trHeight w:val="394"/>
        </w:trPr>
        <w:tc>
          <w:tcPr>
            <w:tcW w:w="0" w:type="auto"/>
          </w:tcPr>
          <w:p w14:paraId="21EAB034" w14:textId="77777777" w:rsidR="003327CE" w:rsidRPr="00265A49" w:rsidRDefault="003327CE" w:rsidP="00E7110E">
            <w:pPr>
              <w:pStyle w:val="Body"/>
              <w:keepNext/>
              <w:keepLines/>
              <w:pBdr>
                <w:top w:val="none" w:sz="0" w:space="0" w:color="auto"/>
                <w:left w:val="none" w:sz="0" w:space="0" w:color="auto"/>
                <w:bottom w:val="none" w:sz="0" w:space="0" w:color="auto"/>
                <w:right w:val="none" w:sz="0" w:space="0" w:color="auto"/>
                <w:bar w:val="none" w:sz="0" w:color="auto"/>
              </w:pBdr>
              <w:spacing w:before="0"/>
              <w:outlineLvl w:val="5"/>
              <w:rPr>
                <w:rFonts w:hAnsi="Arial" w:cs="Arial"/>
                <w:sz w:val="20"/>
                <w:szCs w:val="20"/>
                <w:lang w:val="en-GB"/>
              </w:rPr>
            </w:pPr>
            <w:r w:rsidRPr="00265A49">
              <w:rPr>
                <w:rFonts w:hAnsi="Arial" w:cs="Arial"/>
                <w:sz w:val="20"/>
                <w:szCs w:val="20"/>
                <w:lang w:val="en-GB"/>
              </w:rPr>
              <w:t>Student or person having an unpaid working experience</w:t>
            </w:r>
          </w:p>
        </w:tc>
        <w:tc>
          <w:tcPr>
            <w:tcW w:w="0" w:type="auto"/>
          </w:tcPr>
          <w:p w14:paraId="437676FC" w14:textId="77777777" w:rsidR="003327CE" w:rsidRPr="00265A49" w:rsidRDefault="003327CE" w:rsidP="00265A49">
            <w:pPr>
              <w:pStyle w:val="Body"/>
              <w:pBdr>
                <w:top w:val="none" w:sz="0" w:space="0" w:color="auto"/>
                <w:left w:val="none" w:sz="0" w:space="0" w:color="auto"/>
                <w:bottom w:val="none" w:sz="0" w:space="0" w:color="auto"/>
                <w:right w:val="none" w:sz="0" w:space="0" w:color="auto"/>
                <w:bar w:val="none" w:sz="0" w:color="auto"/>
              </w:pBdr>
              <w:spacing w:before="0"/>
              <w:jc w:val="right"/>
              <w:rPr>
                <w:rFonts w:hAnsi="Arial" w:cs="Arial"/>
                <w:b/>
                <w:bCs/>
                <w:iCs/>
                <w:sz w:val="20"/>
                <w:szCs w:val="20"/>
                <w:lang w:val="en-GB"/>
              </w:rPr>
            </w:pPr>
            <w:r w:rsidRPr="00265A49">
              <w:rPr>
                <w:rFonts w:hAnsi="Arial" w:cs="Arial"/>
                <w:sz w:val="20"/>
                <w:szCs w:val="20"/>
                <w:lang w:val="en-GB"/>
              </w:rPr>
              <w:t>606</w:t>
            </w:r>
          </w:p>
        </w:tc>
        <w:tc>
          <w:tcPr>
            <w:tcW w:w="0" w:type="auto"/>
          </w:tcPr>
          <w:p w14:paraId="32BF6EF3" w14:textId="77777777" w:rsidR="003327CE" w:rsidRPr="00265A49" w:rsidRDefault="003327CE" w:rsidP="00265A49">
            <w:pPr>
              <w:pStyle w:val="Body"/>
              <w:pBdr>
                <w:top w:val="none" w:sz="0" w:space="0" w:color="auto"/>
                <w:left w:val="none" w:sz="0" w:space="0" w:color="auto"/>
                <w:bottom w:val="none" w:sz="0" w:space="0" w:color="auto"/>
                <w:right w:val="none" w:sz="0" w:space="0" w:color="auto"/>
                <w:bar w:val="none" w:sz="0" w:color="auto"/>
              </w:pBdr>
              <w:spacing w:before="0"/>
              <w:jc w:val="right"/>
              <w:rPr>
                <w:rFonts w:hAnsi="Arial" w:cs="Arial"/>
                <w:b/>
                <w:bCs/>
                <w:iCs/>
                <w:sz w:val="20"/>
                <w:szCs w:val="20"/>
                <w:lang w:val="en-GB"/>
              </w:rPr>
            </w:pPr>
            <w:r w:rsidRPr="00265A49">
              <w:rPr>
                <w:rFonts w:hAnsi="Arial" w:cs="Arial"/>
                <w:sz w:val="20"/>
                <w:szCs w:val="20"/>
                <w:lang w:val="en-GB"/>
              </w:rPr>
              <w:t>4.5</w:t>
            </w:r>
          </w:p>
        </w:tc>
        <w:tc>
          <w:tcPr>
            <w:tcW w:w="0" w:type="auto"/>
          </w:tcPr>
          <w:p w14:paraId="75102C1A" w14:textId="77777777" w:rsidR="003327CE" w:rsidRPr="00265A49" w:rsidRDefault="003327CE" w:rsidP="00265A49">
            <w:pPr>
              <w:pStyle w:val="Body"/>
              <w:pBdr>
                <w:top w:val="none" w:sz="0" w:space="0" w:color="auto"/>
                <w:left w:val="none" w:sz="0" w:space="0" w:color="auto"/>
                <w:bottom w:val="none" w:sz="0" w:space="0" w:color="auto"/>
                <w:right w:val="none" w:sz="0" w:space="0" w:color="auto"/>
                <w:bar w:val="none" w:sz="0" w:color="auto"/>
              </w:pBdr>
              <w:spacing w:before="0"/>
              <w:jc w:val="right"/>
              <w:rPr>
                <w:rFonts w:hAnsi="Arial" w:cs="Arial"/>
                <w:b/>
                <w:bCs/>
                <w:iCs/>
                <w:sz w:val="20"/>
                <w:szCs w:val="20"/>
                <w:lang w:val="en-GB"/>
              </w:rPr>
            </w:pPr>
            <w:r w:rsidRPr="00265A49">
              <w:rPr>
                <w:rFonts w:hAnsi="Arial" w:cs="Arial"/>
                <w:sz w:val="20"/>
                <w:szCs w:val="20"/>
                <w:lang w:val="en-GB"/>
              </w:rPr>
              <w:t>399</w:t>
            </w:r>
          </w:p>
        </w:tc>
        <w:tc>
          <w:tcPr>
            <w:tcW w:w="0" w:type="auto"/>
          </w:tcPr>
          <w:p w14:paraId="0878DAC2" w14:textId="77777777" w:rsidR="003327CE" w:rsidRPr="00265A49" w:rsidRDefault="003327CE" w:rsidP="00265A49">
            <w:pPr>
              <w:pStyle w:val="Body"/>
              <w:pBdr>
                <w:top w:val="none" w:sz="0" w:space="0" w:color="auto"/>
                <w:left w:val="none" w:sz="0" w:space="0" w:color="auto"/>
                <w:bottom w:val="none" w:sz="0" w:space="0" w:color="auto"/>
                <w:right w:val="none" w:sz="0" w:space="0" w:color="auto"/>
                <w:bar w:val="none" w:sz="0" w:color="auto"/>
              </w:pBdr>
              <w:spacing w:before="0"/>
              <w:jc w:val="right"/>
              <w:rPr>
                <w:rFonts w:hAnsi="Arial" w:cs="Arial"/>
                <w:b/>
                <w:bCs/>
                <w:iCs/>
                <w:sz w:val="20"/>
                <w:szCs w:val="20"/>
                <w:lang w:val="en-GB"/>
              </w:rPr>
            </w:pPr>
            <w:r w:rsidRPr="00265A49">
              <w:rPr>
                <w:rFonts w:hAnsi="Arial" w:cs="Arial"/>
                <w:sz w:val="20"/>
                <w:szCs w:val="20"/>
                <w:lang w:val="en-GB"/>
              </w:rPr>
              <w:t>2.8</w:t>
            </w:r>
          </w:p>
        </w:tc>
        <w:tc>
          <w:tcPr>
            <w:tcW w:w="0" w:type="auto"/>
          </w:tcPr>
          <w:p w14:paraId="1F6CFAF4" w14:textId="77777777" w:rsidR="003327CE" w:rsidRPr="00265A49" w:rsidRDefault="003327CE" w:rsidP="00265A49">
            <w:pPr>
              <w:pStyle w:val="Body"/>
              <w:pBdr>
                <w:top w:val="none" w:sz="0" w:space="0" w:color="auto"/>
                <w:left w:val="none" w:sz="0" w:space="0" w:color="auto"/>
                <w:bottom w:val="none" w:sz="0" w:space="0" w:color="auto"/>
                <w:right w:val="none" w:sz="0" w:space="0" w:color="auto"/>
                <w:bar w:val="none" w:sz="0" w:color="auto"/>
              </w:pBdr>
              <w:spacing w:before="0"/>
              <w:jc w:val="right"/>
              <w:rPr>
                <w:rFonts w:hAnsi="Arial" w:cs="Arial"/>
                <w:b/>
                <w:bCs/>
                <w:iCs/>
                <w:sz w:val="20"/>
                <w:szCs w:val="20"/>
                <w:lang w:val="en-GB"/>
              </w:rPr>
            </w:pPr>
            <w:r w:rsidRPr="00265A49">
              <w:rPr>
                <w:rFonts w:hAnsi="Arial" w:cs="Arial"/>
                <w:sz w:val="20"/>
                <w:szCs w:val="20"/>
                <w:lang w:val="en-GB"/>
              </w:rPr>
              <w:t>1005</w:t>
            </w:r>
          </w:p>
        </w:tc>
        <w:tc>
          <w:tcPr>
            <w:tcW w:w="0" w:type="auto"/>
          </w:tcPr>
          <w:p w14:paraId="32E41824" w14:textId="77777777" w:rsidR="003327CE" w:rsidRPr="00265A49" w:rsidRDefault="003327CE" w:rsidP="00265A49">
            <w:pPr>
              <w:pStyle w:val="Body"/>
              <w:pBdr>
                <w:top w:val="none" w:sz="0" w:space="0" w:color="auto"/>
                <w:left w:val="none" w:sz="0" w:space="0" w:color="auto"/>
                <w:bottom w:val="none" w:sz="0" w:space="0" w:color="auto"/>
                <w:right w:val="none" w:sz="0" w:space="0" w:color="auto"/>
                <w:bar w:val="none" w:sz="0" w:color="auto"/>
              </w:pBdr>
              <w:spacing w:before="0"/>
              <w:jc w:val="right"/>
              <w:rPr>
                <w:rFonts w:hAnsi="Arial" w:cs="Arial"/>
                <w:b/>
                <w:bCs/>
                <w:iCs/>
                <w:sz w:val="20"/>
                <w:szCs w:val="20"/>
                <w:lang w:val="en-GB"/>
              </w:rPr>
            </w:pPr>
            <w:r w:rsidRPr="00265A49">
              <w:rPr>
                <w:rFonts w:hAnsi="Arial" w:cs="Arial"/>
                <w:sz w:val="20"/>
                <w:szCs w:val="20"/>
                <w:lang w:val="en-GB"/>
              </w:rPr>
              <w:t>3.6</w:t>
            </w:r>
          </w:p>
        </w:tc>
      </w:tr>
      <w:tr w:rsidR="003327CE" w:rsidRPr="00265A49" w14:paraId="691BB068" w14:textId="77777777" w:rsidTr="00265A49">
        <w:trPr>
          <w:trHeight w:val="394"/>
        </w:trPr>
        <w:tc>
          <w:tcPr>
            <w:tcW w:w="0" w:type="auto"/>
          </w:tcPr>
          <w:p w14:paraId="670D3B79" w14:textId="77777777" w:rsidR="003327CE" w:rsidRPr="00265A49" w:rsidRDefault="003327CE" w:rsidP="00E7110E">
            <w:pPr>
              <w:pStyle w:val="Body"/>
              <w:pBdr>
                <w:top w:val="none" w:sz="0" w:space="0" w:color="auto"/>
                <w:left w:val="none" w:sz="0" w:space="0" w:color="auto"/>
                <w:bottom w:val="none" w:sz="0" w:space="0" w:color="auto"/>
                <w:right w:val="none" w:sz="0" w:space="0" w:color="auto"/>
                <w:bar w:val="none" w:sz="0" w:color="auto"/>
              </w:pBdr>
              <w:spacing w:before="0"/>
              <w:rPr>
                <w:rFonts w:hAnsi="Arial" w:cs="Arial"/>
                <w:sz w:val="20"/>
                <w:szCs w:val="20"/>
                <w:lang w:val="en-GB"/>
              </w:rPr>
            </w:pPr>
            <w:r w:rsidRPr="00265A49">
              <w:rPr>
                <w:rFonts w:hAnsi="Arial" w:cs="Arial"/>
                <w:sz w:val="20"/>
                <w:szCs w:val="20"/>
                <w:lang w:val="en-GB"/>
              </w:rPr>
              <w:t>Retired</w:t>
            </w:r>
          </w:p>
        </w:tc>
        <w:tc>
          <w:tcPr>
            <w:tcW w:w="0" w:type="auto"/>
          </w:tcPr>
          <w:p w14:paraId="01AF8FAA" w14:textId="77777777" w:rsidR="003327CE" w:rsidRPr="00265A49" w:rsidRDefault="003327CE" w:rsidP="00265A49">
            <w:pPr>
              <w:pStyle w:val="Body"/>
              <w:pBdr>
                <w:top w:val="none" w:sz="0" w:space="0" w:color="auto"/>
                <w:left w:val="none" w:sz="0" w:space="0" w:color="auto"/>
                <w:bottom w:val="none" w:sz="0" w:space="0" w:color="auto"/>
                <w:right w:val="none" w:sz="0" w:space="0" w:color="auto"/>
                <w:bar w:val="none" w:sz="0" w:color="auto"/>
              </w:pBdr>
              <w:spacing w:before="0"/>
              <w:jc w:val="right"/>
              <w:rPr>
                <w:rFonts w:hAnsi="Arial" w:cs="Arial"/>
                <w:b/>
                <w:bCs/>
                <w:iCs/>
                <w:sz w:val="20"/>
                <w:szCs w:val="20"/>
                <w:lang w:val="en-GB"/>
              </w:rPr>
            </w:pPr>
            <w:r w:rsidRPr="00265A49">
              <w:rPr>
                <w:rFonts w:hAnsi="Arial" w:cs="Arial"/>
                <w:sz w:val="20"/>
                <w:szCs w:val="20"/>
                <w:lang w:val="en-GB"/>
              </w:rPr>
              <w:t>5537</w:t>
            </w:r>
          </w:p>
        </w:tc>
        <w:tc>
          <w:tcPr>
            <w:tcW w:w="0" w:type="auto"/>
          </w:tcPr>
          <w:p w14:paraId="47272627" w14:textId="77777777" w:rsidR="003327CE" w:rsidRPr="00265A49" w:rsidRDefault="003327CE" w:rsidP="00265A49">
            <w:pPr>
              <w:pStyle w:val="Body"/>
              <w:pBdr>
                <w:top w:val="none" w:sz="0" w:space="0" w:color="auto"/>
                <w:left w:val="none" w:sz="0" w:space="0" w:color="auto"/>
                <w:bottom w:val="none" w:sz="0" w:space="0" w:color="auto"/>
                <w:right w:val="none" w:sz="0" w:space="0" w:color="auto"/>
                <w:bar w:val="none" w:sz="0" w:color="auto"/>
              </w:pBdr>
              <w:spacing w:before="0"/>
              <w:jc w:val="right"/>
              <w:rPr>
                <w:rFonts w:hAnsi="Arial" w:cs="Arial"/>
                <w:b/>
                <w:bCs/>
                <w:iCs/>
                <w:sz w:val="20"/>
                <w:szCs w:val="20"/>
                <w:lang w:val="en-GB"/>
              </w:rPr>
            </w:pPr>
            <w:r w:rsidRPr="00265A49">
              <w:rPr>
                <w:rFonts w:hAnsi="Arial" w:cs="Arial"/>
                <w:sz w:val="20"/>
                <w:szCs w:val="20"/>
                <w:lang w:val="en-GB"/>
              </w:rPr>
              <w:t>41.0</w:t>
            </w:r>
          </w:p>
        </w:tc>
        <w:tc>
          <w:tcPr>
            <w:tcW w:w="0" w:type="auto"/>
          </w:tcPr>
          <w:p w14:paraId="43EF8541" w14:textId="77777777" w:rsidR="003327CE" w:rsidRPr="00265A49" w:rsidRDefault="003327CE" w:rsidP="00265A49">
            <w:pPr>
              <w:pStyle w:val="Body"/>
              <w:pBdr>
                <w:top w:val="none" w:sz="0" w:space="0" w:color="auto"/>
                <w:left w:val="none" w:sz="0" w:space="0" w:color="auto"/>
                <w:bottom w:val="none" w:sz="0" w:space="0" w:color="auto"/>
                <w:right w:val="none" w:sz="0" w:space="0" w:color="auto"/>
                <w:bar w:val="none" w:sz="0" w:color="auto"/>
              </w:pBdr>
              <w:spacing w:before="0"/>
              <w:jc w:val="right"/>
              <w:rPr>
                <w:rFonts w:hAnsi="Arial" w:cs="Arial"/>
                <w:b/>
                <w:bCs/>
                <w:iCs/>
                <w:sz w:val="20"/>
                <w:szCs w:val="20"/>
                <w:lang w:val="en-GB"/>
              </w:rPr>
            </w:pPr>
            <w:r w:rsidRPr="00265A49">
              <w:rPr>
                <w:rFonts w:hAnsi="Arial" w:cs="Arial"/>
                <w:sz w:val="20"/>
                <w:szCs w:val="20"/>
                <w:lang w:val="en-GB"/>
              </w:rPr>
              <w:t>2773</w:t>
            </w:r>
          </w:p>
        </w:tc>
        <w:tc>
          <w:tcPr>
            <w:tcW w:w="0" w:type="auto"/>
          </w:tcPr>
          <w:p w14:paraId="56D7EC59" w14:textId="77777777" w:rsidR="003327CE" w:rsidRPr="00265A49" w:rsidRDefault="003327CE" w:rsidP="00265A49">
            <w:pPr>
              <w:pStyle w:val="Body"/>
              <w:pBdr>
                <w:top w:val="none" w:sz="0" w:space="0" w:color="auto"/>
                <w:left w:val="none" w:sz="0" w:space="0" w:color="auto"/>
                <w:bottom w:val="none" w:sz="0" w:space="0" w:color="auto"/>
                <w:right w:val="none" w:sz="0" w:space="0" w:color="auto"/>
                <w:bar w:val="none" w:sz="0" w:color="auto"/>
              </w:pBdr>
              <w:spacing w:before="0"/>
              <w:jc w:val="right"/>
              <w:rPr>
                <w:rFonts w:hAnsi="Arial" w:cs="Arial"/>
                <w:b/>
                <w:bCs/>
                <w:iCs/>
                <w:sz w:val="20"/>
                <w:szCs w:val="20"/>
                <w:lang w:val="en-GB"/>
              </w:rPr>
            </w:pPr>
            <w:r w:rsidRPr="00265A49">
              <w:rPr>
                <w:rFonts w:hAnsi="Arial" w:cs="Arial"/>
                <w:sz w:val="20"/>
                <w:szCs w:val="20"/>
                <w:lang w:val="en-GB"/>
              </w:rPr>
              <w:t>19.6</w:t>
            </w:r>
          </w:p>
        </w:tc>
        <w:tc>
          <w:tcPr>
            <w:tcW w:w="0" w:type="auto"/>
          </w:tcPr>
          <w:p w14:paraId="3492F517" w14:textId="77777777" w:rsidR="003327CE" w:rsidRPr="00265A49" w:rsidRDefault="003327CE" w:rsidP="00265A49">
            <w:pPr>
              <w:pStyle w:val="Body"/>
              <w:pBdr>
                <w:top w:val="none" w:sz="0" w:space="0" w:color="auto"/>
                <w:left w:val="none" w:sz="0" w:space="0" w:color="auto"/>
                <w:bottom w:val="none" w:sz="0" w:space="0" w:color="auto"/>
                <w:right w:val="none" w:sz="0" w:space="0" w:color="auto"/>
                <w:bar w:val="none" w:sz="0" w:color="auto"/>
              </w:pBdr>
              <w:spacing w:before="0"/>
              <w:jc w:val="right"/>
              <w:rPr>
                <w:rFonts w:hAnsi="Arial" w:cs="Arial"/>
                <w:b/>
                <w:bCs/>
                <w:iCs/>
                <w:sz w:val="20"/>
                <w:szCs w:val="20"/>
                <w:lang w:val="en-GB"/>
              </w:rPr>
            </w:pPr>
            <w:r w:rsidRPr="00265A49">
              <w:rPr>
                <w:rFonts w:hAnsi="Arial" w:cs="Arial"/>
                <w:sz w:val="20"/>
                <w:szCs w:val="20"/>
                <w:lang w:val="en-GB"/>
              </w:rPr>
              <w:t>8310</w:t>
            </w:r>
          </w:p>
        </w:tc>
        <w:tc>
          <w:tcPr>
            <w:tcW w:w="0" w:type="auto"/>
          </w:tcPr>
          <w:p w14:paraId="04D13645" w14:textId="77777777" w:rsidR="003327CE" w:rsidRPr="00265A49" w:rsidRDefault="003327CE" w:rsidP="00265A49">
            <w:pPr>
              <w:pStyle w:val="Body"/>
              <w:pBdr>
                <w:top w:val="none" w:sz="0" w:space="0" w:color="auto"/>
                <w:left w:val="none" w:sz="0" w:space="0" w:color="auto"/>
                <w:bottom w:val="none" w:sz="0" w:space="0" w:color="auto"/>
                <w:right w:val="none" w:sz="0" w:space="0" w:color="auto"/>
                <w:bar w:val="none" w:sz="0" w:color="auto"/>
              </w:pBdr>
              <w:spacing w:before="0"/>
              <w:jc w:val="right"/>
              <w:rPr>
                <w:rFonts w:hAnsi="Arial" w:cs="Arial"/>
                <w:b/>
                <w:bCs/>
                <w:iCs/>
                <w:sz w:val="20"/>
                <w:szCs w:val="20"/>
                <w:lang w:val="en-GB"/>
              </w:rPr>
            </w:pPr>
            <w:r w:rsidRPr="00265A49">
              <w:rPr>
                <w:rFonts w:hAnsi="Arial" w:cs="Arial"/>
                <w:sz w:val="20"/>
                <w:szCs w:val="20"/>
                <w:lang w:val="en-GB"/>
              </w:rPr>
              <w:t>30.0</w:t>
            </w:r>
          </w:p>
        </w:tc>
      </w:tr>
      <w:tr w:rsidR="003327CE" w:rsidRPr="00265A49" w14:paraId="50B323FC" w14:textId="77777777" w:rsidTr="00265A49">
        <w:trPr>
          <w:trHeight w:val="394"/>
        </w:trPr>
        <w:tc>
          <w:tcPr>
            <w:tcW w:w="0" w:type="auto"/>
          </w:tcPr>
          <w:p w14:paraId="664B8096" w14:textId="77777777" w:rsidR="003327CE" w:rsidRPr="00265A49" w:rsidRDefault="003327CE" w:rsidP="00E7110E">
            <w:pPr>
              <w:pStyle w:val="Body"/>
              <w:keepNext/>
              <w:keepLines/>
              <w:pBdr>
                <w:top w:val="none" w:sz="0" w:space="0" w:color="auto"/>
                <w:left w:val="none" w:sz="0" w:space="0" w:color="auto"/>
                <w:bottom w:val="none" w:sz="0" w:space="0" w:color="auto"/>
                <w:right w:val="none" w:sz="0" w:space="0" w:color="auto"/>
                <w:bar w:val="none" w:sz="0" w:color="auto"/>
              </w:pBdr>
              <w:spacing w:before="0"/>
              <w:outlineLvl w:val="5"/>
              <w:rPr>
                <w:rFonts w:hAnsi="Arial" w:cs="Arial"/>
                <w:sz w:val="20"/>
                <w:szCs w:val="20"/>
                <w:lang w:val="en-GB"/>
              </w:rPr>
            </w:pPr>
            <w:r w:rsidRPr="00265A49">
              <w:rPr>
                <w:rFonts w:hAnsi="Arial" w:cs="Arial"/>
                <w:sz w:val="20"/>
                <w:szCs w:val="20"/>
                <w:lang w:val="en-GB"/>
              </w:rPr>
              <w:t>Cannot work due to illness or disability</w:t>
            </w:r>
          </w:p>
        </w:tc>
        <w:tc>
          <w:tcPr>
            <w:tcW w:w="0" w:type="auto"/>
          </w:tcPr>
          <w:p w14:paraId="7990EF87" w14:textId="77777777" w:rsidR="003327CE" w:rsidRPr="00265A49" w:rsidRDefault="003327CE" w:rsidP="00265A49">
            <w:pPr>
              <w:pStyle w:val="Body"/>
              <w:pBdr>
                <w:top w:val="none" w:sz="0" w:space="0" w:color="auto"/>
                <w:left w:val="none" w:sz="0" w:space="0" w:color="auto"/>
                <w:bottom w:val="none" w:sz="0" w:space="0" w:color="auto"/>
                <w:right w:val="none" w:sz="0" w:space="0" w:color="auto"/>
                <w:bar w:val="none" w:sz="0" w:color="auto"/>
              </w:pBdr>
              <w:spacing w:before="0"/>
              <w:jc w:val="right"/>
              <w:rPr>
                <w:rFonts w:hAnsi="Arial" w:cs="Arial"/>
                <w:b/>
                <w:bCs/>
                <w:iCs/>
                <w:sz w:val="20"/>
                <w:szCs w:val="20"/>
                <w:lang w:val="en-GB"/>
              </w:rPr>
            </w:pPr>
            <w:r w:rsidRPr="00265A49">
              <w:rPr>
                <w:rFonts w:hAnsi="Arial" w:cs="Arial"/>
                <w:sz w:val="20"/>
                <w:szCs w:val="20"/>
                <w:lang w:val="en-GB"/>
              </w:rPr>
              <w:t>2478</w:t>
            </w:r>
          </w:p>
        </w:tc>
        <w:tc>
          <w:tcPr>
            <w:tcW w:w="0" w:type="auto"/>
          </w:tcPr>
          <w:p w14:paraId="4842039B" w14:textId="77777777" w:rsidR="003327CE" w:rsidRPr="00265A49" w:rsidRDefault="003327CE" w:rsidP="00265A49">
            <w:pPr>
              <w:pStyle w:val="Body"/>
              <w:pBdr>
                <w:top w:val="none" w:sz="0" w:space="0" w:color="auto"/>
                <w:left w:val="none" w:sz="0" w:space="0" w:color="auto"/>
                <w:bottom w:val="none" w:sz="0" w:space="0" w:color="auto"/>
                <w:right w:val="none" w:sz="0" w:space="0" w:color="auto"/>
                <w:bar w:val="none" w:sz="0" w:color="auto"/>
              </w:pBdr>
              <w:spacing w:before="0"/>
              <w:jc w:val="right"/>
              <w:rPr>
                <w:rFonts w:hAnsi="Arial" w:cs="Arial"/>
                <w:b/>
                <w:bCs/>
                <w:iCs/>
                <w:sz w:val="20"/>
                <w:szCs w:val="20"/>
                <w:lang w:val="en-GB"/>
              </w:rPr>
            </w:pPr>
            <w:r w:rsidRPr="00265A49">
              <w:rPr>
                <w:rFonts w:hAnsi="Arial" w:cs="Arial"/>
                <w:sz w:val="20"/>
                <w:szCs w:val="20"/>
                <w:lang w:val="en-GB"/>
              </w:rPr>
              <w:t>18.3</w:t>
            </w:r>
          </w:p>
        </w:tc>
        <w:tc>
          <w:tcPr>
            <w:tcW w:w="0" w:type="auto"/>
          </w:tcPr>
          <w:p w14:paraId="27912B00" w14:textId="77777777" w:rsidR="003327CE" w:rsidRPr="00265A49" w:rsidRDefault="003327CE" w:rsidP="00265A49">
            <w:pPr>
              <w:pStyle w:val="Body"/>
              <w:pBdr>
                <w:top w:val="none" w:sz="0" w:space="0" w:color="auto"/>
                <w:left w:val="none" w:sz="0" w:space="0" w:color="auto"/>
                <w:bottom w:val="none" w:sz="0" w:space="0" w:color="auto"/>
                <w:right w:val="none" w:sz="0" w:space="0" w:color="auto"/>
                <w:bar w:val="none" w:sz="0" w:color="auto"/>
              </w:pBdr>
              <w:spacing w:before="0"/>
              <w:jc w:val="right"/>
              <w:rPr>
                <w:rFonts w:hAnsi="Arial" w:cs="Arial"/>
                <w:b/>
                <w:bCs/>
                <w:iCs/>
                <w:sz w:val="20"/>
                <w:szCs w:val="20"/>
                <w:lang w:val="en-GB"/>
              </w:rPr>
            </w:pPr>
            <w:r w:rsidRPr="00265A49">
              <w:rPr>
                <w:rFonts w:hAnsi="Arial" w:cs="Arial"/>
                <w:sz w:val="20"/>
                <w:szCs w:val="20"/>
                <w:lang w:val="en-GB"/>
              </w:rPr>
              <w:t>1331</w:t>
            </w:r>
          </w:p>
        </w:tc>
        <w:tc>
          <w:tcPr>
            <w:tcW w:w="0" w:type="auto"/>
          </w:tcPr>
          <w:p w14:paraId="072B62BD" w14:textId="77777777" w:rsidR="003327CE" w:rsidRPr="00265A49" w:rsidRDefault="003327CE" w:rsidP="00265A49">
            <w:pPr>
              <w:pStyle w:val="Body"/>
              <w:pBdr>
                <w:top w:val="none" w:sz="0" w:space="0" w:color="auto"/>
                <w:left w:val="none" w:sz="0" w:space="0" w:color="auto"/>
                <w:bottom w:val="none" w:sz="0" w:space="0" w:color="auto"/>
                <w:right w:val="none" w:sz="0" w:space="0" w:color="auto"/>
                <w:bar w:val="none" w:sz="0" w:color="auto"/>
              </w:pBdr>
              <w:spacing w:before="0"/>
              <w:jc w:val="right"/>
              <w:rPr>
                <w:rFonts w:hAnsi="Arial" w:cs="Arial"/>
                <w:b/>
                <w:bCs/>
                <w:iCs/>
                <w:sz w:val="20"/>
                <w:szCs w:val="20"/>
                <w:lang w:val="en-GB"/>
              </w:rPr>
            </w:pPr>
            <w:r w:rsidRPr="00265A49">
              <w:rPr>
                <w:rFonts w:hAnsi="Arial" w:cs="Arial"/>
                <w:sz w:val="20"/>
                <w:szCs w:val="20"/>
                <w:lang w:val="en-GB"/>
              </w:rPr>
              <w:t>9.4</w:t>
            </w:r>
          </w:p>
        </w:tc>
        <w:tc>
          <w:tcPr>
            <w:tcW w:w="0" w:type="auto"/>
          </w:tcPr>
          <w:p w14:paraId="2677A7EE" w14:textId="77777777" w:rsidR="003327CE" w:rsidRPr="00265A49" w:rsidRDefault="003327CE" w:rsidP="00265A49">
            <w:pPr>
              <w:pStyle w:val="Body"/>
              <w:pBdr>
                <w:top w:val="none" w:sz="0" w:space="0" w:color="auto"/>
                <w:left w:val="none" w:sz="0" w:space="0" w:color="auto"/>
                <w:bottom w:val="none" w:sz="0" w:space="0" w:color="auto"/>
                <w:right w:val="none" w:sz="0" w:space="0" w:color="auto"/>
                <w:bar w:val="none" w:sz="0" w:color="auto"/>
              </w:pBdr>
              <w:spacing w:before="0"/>
              <w:jc w:val="right"/>
              <w:rPr>
                <w:rFonts w:hAnsi="Arial" w:cs="Arial"/>
                <w:b/>
                <w:bCs/>
                <w:iCs/>
                <w:sz w:val="20"/>
                <w:szCs w:val="20"/>
                <w:lang w:val="en-GB"/>
              </w:rPr>
            </w:pPr>
            <w:r w:rsidRPr="00265A49">
              <w:rPr>
                <w:rFonts w:hAnsi="Arial" w:cs="Arial"/>
                <w:sz w:val="20"/>
                <w:szCs w:val="20"/>
                <w:lang w:val="en-GB"/>
              </w:rPr>
              <w:t>3809</w:t>
            </w:r>
          </w:p>
        </w:tc>
        <w:tc>
          <w:tcPr>
            <w:tcW w:w="0" w:type="auto"/>
          </w:tcPr>
          <w:p w14:paraId="577222F0" w14:textId="77777777" w:rsidR="003327CE" w:rsidRPr="00265A49" w:rsidRDefault="003327CE" w:rsidP="00265A49">
            <w:pPr>
              <w:pStyle w:val="Body"/>
              <w:pBdr>
                <w:top w:val="none" w:sz="0" w:space="0" w:color="auto"/>
                <w:left w:val="none" w:sz="0" w:space="0" w:color="auto"/>
                <w:bottom w:val="none" w:sz="0" w:space="0" w:color="auto"/>
                <w:right w:val="none" w:sz="0" w:space="0" w:color="auto"/>
                <w:bar w:val="none" w:sz="0" w:color="auto"/>
              </w:pBdr>
              <w:spacing w:before="0"/>
              <w:jc w:val="right"/>
              <w:rPr>
                <w:rFonts w:hAnsi="Arial" w:cs="Arial"/>
                <w:b/>
                <w:bCs/>
                <w:iCs/>
                <w:sz w:val="20"/>
                <w:szCs w:val="20"/>
                <w:lang w:val="en-GB"/>
              </w:rPr>
            </w:pPr>
            <w:r w:rsidRPr="00265A49">
              <w:rPr>
                <w:rFonts w:hAnsi="Arial" w:cs="Arial"/>
                <w:sz w:val="20"/>
                <w:szCs w:val="20"/>
                <w:lang w:val="en-GB"/>
              </w:rPr>
              <w:t>13.8</w:t>
            </w:r>
          </w:p>
        </w:tc>
      </w:tr>
      <w:tr w:rsidR="003327CE" w:rsidRPr="00265A49" w14:paraId="3AA5AB09" w14:textId="77777777" w:rsidTr="00265A49">
        <w:trPr>
          <w:trHeight w:val="394"/>
        </w:trPr>
        <w:tc>
          <w:tcPr>
            <w:tcW w:w="0" w:type="auto"/>
          </w:tcPr>
          <w:p w14:paraId="03784960" w14:textId="77777777" w:rsidR="003327CE" w:rsidRPr="00265A49" w:rsidRDefault="003327CE" w:rsidP="00E7110E">
            <w:pPr>
              <w:pStyle w:val="Body"/>
              <w:keepNext/>
              <w:keepLines/>
              <w:pBdr>
                <w:top w:val="none" w:sz="0" w:space="0" w:color="auto"/>
                <w:left w:val="none" w:sz="0" w:space="0" w:color="auto"/>
                <w:bottom w:val="none" w:sz="0" w:space="0" w:color="auto"/>
                <w:right w:val="none" w:sz="0" w:space="0" w:color="auto"/>
                <w:bar w:val="none" w:sz="0" w:color="auto"/>
              </w:pBdr>
              <w:spacing w:before="0"/>
              <w:outlineLvl w:val="5"/>
              <w:rPr>
                <w:rFonts w:hAnsi="Arial" w:cs="Arial"/>
                <w:sz w:val="20"/>
                <w:szCs w:val="20"/>
                <w:lang w:val="en-GB"/>
              </w:rPr>
            </w:pPr>
            <w:r w:rsidRPr="00265A49">
              <w:rPr>
                <w:rFonts w:hAnsi="Arial" w:cs="Arial"/>
                <w:sz w:val="20"/>
                <w:szCs w:val="20"/>
                <w:lang w:val="en-GB"/>
              </w:rPr>
              <w:t>Taking care of the house and/or family</w:t>
            </w:r>
          </w:p>
        </w:tc>
        <w:tc>
          <w:tcPr>
            <w:tcW w:w="0" w:type="auto"/>
          </w:tcPr>
          <w:p w14:paraId="38A39EA6" w14:textId="77777777" w:rsidR="003327CE" w:rsidRPr="00265A49" w:rsidRDefault="003327CE" w:rsidP="00265A49">
            <w:pPr>
              <w:pStyle w:val="Body"/>
              <w:pBdr>
                <w:top w:val="none" w:sz="0" w:space="0" w:color="auto"/>
                <w:left w:val="none" w:sz="0" w:space="0" w:color="auto"/>
                <w:bottom w:val="none" w:sz="0" w:space="0" w:color="auto"/>
                <w:right w:val="none" w:sz="0" w:space="0" w:color="auto"/>
                <w:bar w:val="none" w:sz="0" w:color="auto"/>
              </w:pBdr>
              <w:spacing w:before="0"/>
              <w:jc w:val="right"/>
              <w:rPr>
                <w:rFonts w:hAnsi="Arial" w:cs="Arial"/>
                <w:b/>
                <w:bCs/>
                <w:iCs/>
                <w:sz w:val="20"/>
                <w:szCs w:val="20"/>
                <w:lang w:val="en-GB"/>
              </w:rPr>
            </w:pPr>
            <w:r w:rsidRPr="00265A49">
              <w:rPr>
                <w:rFonts w:hAnsi="Arial" w:cs="Arial"/>
                <w:sz w:val="20"/>
                <w:szCs w:val="20"/>
                <w:lang w:val="en-GB"/>
              </w:rPr>
              <w:t>792</w:t>
            </w:r>
          </w:p>
        </w:tc>
        <w:tc>
          <w:tcPr>
            <w:tcW w:w="0" w:type="auto"/>
          </w:tcPr>
          <w:p w14:paraId="780A17AC" w14:textId="77777777" w:rsidR="003327CE" w:rsidRPr="00265A49" w:rsidRDefault="003327CE" w:rsidP="00265A49">
            <w:pPr>
              <w:pStyle w:val="Body"/>
              <w:pBdr>
                <w:top w:val="none" w:sz="0" w:space="0" w:color="auto"/>
                <w:left w:val="none" w:sz="0" w:space="0" w:color="auto"/>
                <w:bottom w:val="none" w:sz="0" w:space="0" w:color="auto"/>
                <w:right w:val="none" w:sz="0" w:space="0" w:color="auto"/>
                <w:bar w:val="none" w:sz="0" w:color="auto"/>
              </w:pBdr>
              <w:spacing w:before="0"/>
              <w:jc w:val="right"/>
              <w:rPr>
                <w:rFonts w:hAnsi="Arial" w:cs="Arial"/>
                <w:b/>
                <w:bCs/>
                <w:iCs/>
                <w:sz w:val="20"/>
                <w:szCs w:val="20"/>
                <w:lang w:val="en-GB"/>
              </w:rPr>
            </w:pPr>
            <w:r w:rsidRPr="00265A49">
              <w:rPr>
                <w:rFonts w:hAnsi="Arial" w:cs="Arial"/>
                <w:sz w:val="20"/>
                <w:szCs w:val="20"/>
                <w:lang w:val="en-GB"/>
              </w:rPr>
              <w:t>5.9</w:t>
            </w:r>
          </w:p>
        </w:tc>
        <w:tc>
          <w:tcPr>
            <w:tcW w:w="0" w:type="auto"/>
          </w:tcPr>
          <w:p w14:paraId="363B2BBA" w14:textId="77777777" w:rsidR="003327CE" w:rsidRPr="00265A49" w:rsidRDefault="003327CE" w:rsidP="00265A49">
            <w:pPr>
              <w:pStyle w:val="Body"/>
              <w:pBdr>
                <w:top w:val="none" w:sz="0" w:space="0" w:color="auto"/>
                <w:left w:val="none" w:sz="0" w:space="0" w:color="auto"/>
                <w:bottom w:val="none" w:sz="0" w:space="0" w:color="auto"/>
                <w:right w:val="none" w:sz="0" w:space="0" w:color="auto"/>
                <w:bar w:val="none" w:sz="0" w:color="auto"/>
              </w:pBdr>
              <w:spacing w:before="0"/>
              <w:jc w:val="right"/>
              <w:rPr>
                <w:rFonts w:hAnsi="Arial" w:cs="Arial"/>
                <w:b/>
                <w:bCs/>
                <w:iCs/>
                <w:sz w:val="20"/>
                <w:szCs w:val="20"/>
                <w:lang w:val="en-GB"/>
              </w:rPr>
            </w:pPr>
            <w:r w:rsidRPr="00265A49">
              <w:rPr>
                <w:rFonts w:hAnsi="Arial" w:cs="Arial"/>
                <w:sz w:val="20"/>
                <w:szCs w:val="20"/>
                <w:lang w:val="en-GB"/>
              </w:rPr>
              <w:t>7023</w:t>
            </w:r>
          </w:p>
        </w:tc>
        <w:tc>
          <w:tcPr>
            <w:tcW w:w="0" w:type="auto"/>
          </w:tcPr>
          <w:p w14:paraId="17095D5C" w14:textId="77777777" w:rsidR="003327CE" w:rsidRPr="00265A49" w:rsidRDefault="003327CE" w:rsidP="00265A49">
            <w:pPr>
              <w:pStyle w:val="Body"/>
              <w:pBdr>
                <w:top w:val="none" w:sz="0" w:space="0" w:color="auto"/>
                <w:left w:val="none" w:sz="0" w:space="0" w:color="auto"/>
                <w:bottom w:val="none" w:sz="0" w:space="0" w:color="auto"/>
                <w:right w:val="none" w:sz="0" w:space="0" w:color="auto"/>
                <w:bar w:val="none" w:sz="0" w:color="auto"/>
              </w:pBdr>
              <w:spacing w:before="0"/>
              <w:jc w:val="right"/>
              <w:rPr>
                <w:rFonts w:hAnsi="Arial" w:cs="Arial"/>
                <w:b/>
                <w:bCs/>
                <w:iCs/>
                <w:sz w:val="20"/>
                <w:szCs w:val="20"/>
                <w:lang w:val="en-GB"/>
              </w:rPr>
            </w:pPr>
            <w:r w:rsidRPr="00265A49">
              <w:rPr>
                <w:rFonts w:hAnsi="Arial" w:cs="Arial"/>
                <w:sz w:val="20"/>
                <w:szCs w:val="20"/>
                <w:lang w:val="en-GB"/>
              </w:rPr>
              <w:t>49.5</w:t>
            </w:r>
          </w:p>
        </w:tc>
        <w:tc>
          <w:tcPr>
            <w:tcW w:w="0" w:type="auto"/>
          </w:tcPr>
          <w:p w14:paraId="5D4F3D48" w14:textId="77777777" w:rsidR="003327CE" w:rsidRPr="00265A49" w:rsidRDefault="003327CE" w:rsidP="00265A49">
            <w:pPr>
              <w:pStyle w:val="Body"/>
              <w:pBdr>
                <w:top w:val="none" w:sz="0" w:space="0" w:color="auto"/>
                <w:left w:val="none" w:sz="0" w:space="0" w:color="auto"/>
                <w:bottom w:val="none" w:sz="0" w:space="0" w:color="auto"/>
                <w:right w:val="none" w:sz="0" w:space="0" w:color="auto"/>
                <w:bar w:val="none" w:sz="0" w:color="auto"/>
              </w:pBdr>
              <w:spacing w:before="0"/>
              <w:jc w:val="right"/>
              <w:rPr>
                <w:rFonts w:hAnsi="Arial" w:cs="Arial"/>
                <w:b/>
                <w:bCs/>
                <w:iCs/>
                <w:sz w:val="20"/>
                <w:szCs w:val="20"/>
                <w:lang w:val="en-GB"/>
              </w:rPr>
            </w:pPr>
            <w:r w:rsidRPr="00265A49">
              <w:rPr>
                <w:rFonts w:hAnsi="Arial" w:cs="Arial"/>
                <w:sz w:val="20"/>
                <w:szCs w:val="20"/>
                <w:lang w:val="en-GB"/>
              </w:rPr>
              <w:t>7815</w:t>
            </w:r>
          </w:p>
        </w:tc>
        <w:tc>
          <w:tcPr>
            <w:tcW w:w="0" w:type="auto"/>
          </w:tcPr>
          <w:p w14:paraId="43EEC919" w14:textId="77777777" w:rsidR="003327CE" w:rsidRPr="00265A49" w:rsidRDefault="003327CE" w:rsidP="00265A49">
            <w:pPr>
              <w:pStyle w:val="Body"/>
              <w:pBdr>
                <w:top w:val="none" w:sz="0" w:space="0" w:color="auto"/>
                <w:left w:val="none" w:sz="0" w:space="0" w:color="auto"/>
                <w:bottom w:val="none" w:sz="0" w:space="0" w:color="auto"/>
                <w:right w:val="none" w:sz="0" w:space="0" w:color="auto"/>
                <w:bar w:val="none" w:sz="0" w:color="auto"/>
              </w:pBdr>
              <w:spacing w:before="0"/>
              <w:jc w:val="right"/>
              <w:rPr>
                <w:rFonts w:hAnsi="Arial" w:cs="Arial"/>
                <w:b/>
                <w:bCs/>
                <w:iCs/>
                <w:sz w:val="20"/>
                <w:szCs w:val="20"/>
                <w:lang w:val="en-GB"/>
              </w:rPr>
            </w:pPr>
            <w:r w:rsidRPr="00265A49">
              <w:rPr>
                <w:rFonts w:hAnsi="Arial" w:cs="Arial"/>
                <w:sz w:val="20"/>
                <w:szCs w:val="20"/>
                <w:lang w:val="en-GB"/>
              </w:rPr>
              <w:t>28.2</w:t>
            </w:r>
          </w:p>
        </w:tc>
      </w:tr>
      <w:tr w:rsidR="003327CE" w:rsidRPr="00265A49" w14:paraId="3361B2D0" w14:textId="77777777" w:rsidTr="00265A49">
        <w:trPr>
          <w:trHeight w:val="394"/>
        </w:trPr>
        <w:tc>
          <w:tcPr>
            <w:tcW w:w="0" w:type="auto"/>
          </w:tcPr>
          <w:p w14:paraId="009F41C7" w14:textId="77777777" w:rsidR="003327CE" w:rsidRPr="00265A49" w:rsidRDefault="003327CE" w:rsidP="00E7110E">
            <w:pPr>
              <w:pStyle w:val="Body"/>
              <w:pBdr>
                <w:top w:val="none" w:sz="0" w:space="0" w:color="auto"/>
                <w:left w:val="none" w:sz="0" w:space="0" w:color="auto"/>
                <w:bottom w:val="none" w:sz="0" w:space="0" w:color="auto"/>
                <w:right w:val="none" w:sz="0" w:space="0" w:color="auto"/>
                <w:bar w:val="none" w:sz="0" w:color="auto"/>
              </w:pBdr>
              <w:spacing w:before="0"/>
              <w:rPr>
                <w:rFonts w:hAnsi="Arial" w:cs="Arial"/>
                <w:sz w:val="20"/>
                <w:szCs w:val="20"/>
                <w:lang w:val="en-GB"/>
              </w:rPr>
            </w:pPr>
            <w:r w:rsidRPr="00265A49">
              <w:rPr>
                <w:rFonts w:hAnsi="Arial" w:cs="Arial"/>
                <w:sz w:val="20"/>
                <w:szCs w:val="20"/>
                <w:lang w:val="en-GB"/>
              </w:rPr>
              <w:t>Other inactive persons</w:t>
            </w:r>
          </w:p>
        </w:tc>
        <w:tc>
          <w:tcPr>
            <w:tcW w:w="0" w:type="auto"/>
          </w:tcPr>
          <w:p w14:paraId="78AB2A09" w14:textId="77777777" w:rsidR="003327CE" w:rsidRPr="00265A49" w:rsidRDefault="003327CE" w:rsidP="00265A49">
            <w:pPr>
              <w:pStyle w:val="Body"/>
              <w:pBdr>
                <w:top w:val="none" w:sz="0" w:space="0" w:color="auto"/>
                <w:left w:val="none" w:sz="0" w:space="0" w:color="auto"/>
                <w:bottom w:val="none" w:sz="0" w:space="0" w:color="auto"/>
                <w:right w:val="none" w:sz="0" w:space="0" w:color="auto"/>
                <w:bar w:val="none" w:sz="0" w:color="auto"/>
              </w:pBdr>
              <w:spacing w:before="0"/>
              <w:jc w:val="right"/>
              <w:rPr>
                <w:rFonts w:hAnsi="Arial" w:cs="Arial"/>
                <w:b/>
                <w:bCs/>
                <w:iCs/>
                <w:sz w:val="20"/>
                <w:szCs w:val="20"/>
                <w:lang w:val="en-GB"/>
              </w:rPr>
            </w:pPr>
            <w:r w:rsidRPr="00265A49">
              <w:rPr>
                <w:rFonts w:hAnsi="Arial" w:cs="Arial"/>
                <w:sz w:val="20"/>
                <w:szCs w:val="20"/>
                <w:lang w:val="en-GB"/>
              </w:rPr>
              <w:t>553</w:t>
            </w:r>
          </w:p>
        </w:tc>
        <w:tc>
          <w:tcPr>
            <w:tcW w:w="0" w:type="auto"/>
          </w:tcPr>
          <w:p w14:paraId="597884B2" w14:textId="77777777" w:rsidR="003327CE" w:rsidRPr="00265A49" w:rsidRDefault="003327CE" w:rsidP="00265A49">
            <w:pPr>
              <w:pStyle w:val="Body"/>
              <w:pBdr>
                <w:top w:val="none" w:sz="0" w:space="0" w:color="auto"/>
                <w:left w:val="none" w:sz="0" w:space="0" w:color="auto"/>
                <w:bottom w:val="none" w:sz="0" w:space="0" w:color="auto"/>
                <w:right w:val="none" w:sz="0" w:space="0" w:color="auto"/>
                <w:bar w:val="none" w:sz="0" w:color="auto"/>
              </w:pBdr>
              <w:spacing w:before="0"/>
              <w:jc w:val="right"/>
              <w:rPr>
                <w:rFonts w:hAnsi="Arial" w:cs="Arial"/>
                <w:b/>
                <w:bCs/>
                <w:iCs/>
                <w:sz w:val="20"/>
                <w:szCs w:val="20"/>
                <w:lang w:val="en-GB"/>
              </w:rPr>
            </w:pPr>
            <w:r w:rsidRPr="00265A49">
              <w:rPr>
                <w:rFonts w:hAnsi="Arial" w:cs="Arial"/>
                <w:sz w:val="20"/>
                <w:szCs w:val="20"/>
                <w:lang w:val="en-GB"/>
              </w:rPr>
              <w:t>4.1</w:t>
            </w:r>
          </w:p>
        </w:tc>
        <w:tc>
          <w:tcPr>
            <w:tcW w:w="0" w:type="auto"/>
          </w:tcPr>
          <w:p w14:paraId="7F87758E" w14:textId="77777777" w:rsidR="003327CE" w:rsidRPr="00265A49" w:rsidRDefault="003327CE" w:rsidP="00265A49">
            <w:pPr>
              <w:pStyle w:val="Body"/>
              <w:pBdr>
                <w:top w:val="none" w:sz="0" w:space="0" w:color="auto"/>
                <w:left w:val="none" w:sz="0" w:space="0" w:color="auto"/>
                <w:bottom w:val="none" w:sz="0" w:space="0" w:color="auto"/>
                <w:right w:val="none" w:sz="0" w:space="0" w:color="auto"/>
                <w:bar w:val="none" w:sz="0" w:color="auto"/>
              </w:pBdr>
              <w:spacing w:before="0"/>
              <w:jc w:val="right"/>
              <w:rPr>
                <w:rFonts w:hAnsi="Arial" w:cs="Arial"/>
                <w:b/>
                <w:bCs/>
                <w:iCs/>
                <w:sz w:val="20"/>
                <w:szCs w:val="20"/>
                <w:lang w:val="en-GB"/>
              </w:rPr>
            </w:pPr>
            <w:r w:rsidRPr="00265A49">
              <w:rPr>
                <w:rFonts w:hAnsi="Arial" w:cs="Arial"/>
                <w:sz w:val="20"/>
                <w:szCs w:val="20"/>
                <w:lang w:val="en-GB"/>
              </w:rPr>
              <w:t>1049</w:t>
            </w:r>
          </w:p>
        </w:tc>
        <w:tc>
          <w:tcPr>
            <w:tcW w:w="0" w:type="auto"/>
          </w:tcPr>
          <w:p w14:paraId="0AB5C113" w14:textId="77777777" w:rsidR="003327CE" w:rsidRPr="00265A49" w:rsidRDefault="003327CE" w:rsidP="00265A49">
            <w:pPr>
              <w:pStyle w:val="Body"/>
              <w:pBdr>
                <w:top w:val="none" w:sz="0" w:space="0" w:color="auto"/>
                <w:left w:val="none" w:sz="0" w:space="0" w:color="auto"/>
                <w:bottom w:val="none" w:sz="0" w:space="0" w:color="auto"/>
                <w:right w:val="none" w:sz="0" w:space="0" w:color="auto"/>
                <w:bar w:val="none" w:sz="0" w:color="auto"/>
              </w:pBdr>
              <w:spacing w:before="0"/>
              <w:jc w:val="right"/>
              <w:rPr>
                <w:rFonts w:hAnsi="Arial" w:cs="Arial"/>
                <w:b/>
                <w:bCs/>
                <w:iCs/>
                <w:sz w:val="20"/>
                <w:szCs w:val="20"/>
                <w:lang w:val="en-GB"/>
              </w:rPr>
            </w:pPr>
            <w:r w:rsidRPr="00265A49">
              <w:rPr>
                <w:rFonts w:hAnsi="Arial" w:cs="Arial"/>
                <w:sz w:val="20"/>
                <w:szCs w:val="20"/>
                <w:lang w:val="en-GB"/>
              </w:rPr>
              <w:t>7.4</w:t>
            </w:r>
          </w:p>
        </w:tc>
        <w:tc>
          <w:tcPr>
            <w:tcW w:w="0" w:type="auto"/>
          </w:tcPr>
          <w:p w14:paraId="79BCAC5F" w14:textId="77777777" w:rsidR="003327CE" w:rsidRPr="00265A49" w:rsidRDefault="003327CE" w:rsidP="00265A49">
            <w:pPr>
              <w:pStyle w:val="Body"/>
              <w:pBdr>
                <w:top w:val="none" w:sz="0" w:space="0" w:color="auto"/>
                <w:left w:val="none" w:sz="0" w:space="0" w:color="auto"/>
                <w:bottom w:val="none" w:sz="0" w:space="0" w:color="auto"/>
                <w:right w:val="none" w:sz="0" w:space="0" w:color="auto"/>
                <w:bar w:val="none" w:sz="0" w:color="auto"/>
              </w:pBdr>
              <w:spacing w:before="0"/>
              <w:jc w:val="right"/>
              <w:rPr>
                <w:rFonts w:hAnsi="Arial" w:cs="Arial"/>
                <w:b/>
                <w:bCs/>
                <w:iCs/>
                <w:sz w:val="20"/>
                <w:szCs w:val="20"/>
                <w:lang w:val="en-GB"/>
              </w:rPr>
            </w:pPr>
            <w:r w:rsidRPr="00265A49">
              <w:rPr>
                <w:rFonts w:hAnsi="Arial" w:cs="Arial"/>
                <w:sz w:val="20"/>
                <w:szCs w:val="20"/>
                <w:lang w:val="en-GB"/>
              </w:rPr>
              <w:t>1602</w:t>
            </w:r>
          </w:p>
        </w:tc>
        <w:tc>
          <w:tcPr>
            <w:tcW w:w="0" w:type="auto"/>
          </w:tcPr>
          <w:p w14:paraId="562DBABC" w14:textId="77777777" w:rsidR="003327CE" w:rsidRPr="00265A49" w:rsidRDefault="003327CE" w:rsidP="00265A49">
            <w:pPr>
              <w:pStyle w:val="Body"/>
              <w:pBdr>
                <w:top w:val="none" w:sz="0" w:space="0" w:color="auto"/>
                <w:left w:val="none" w:sz="0" w:space="0" w:color="auto"/>
                <w:bottom w:val="none" w:sz="0" w:space="0" w:color="auto"/>
                <w:right w:val="none" w:sz="0" w:space="0" w:color="auto"/>
                <w:bar w:val="none" w:sz="0" w:color="auto"/>
              </w:pBdr>
              <w:spacing w:before="0"/>
              <w:jc w:val="right"/>
              <w:rPr>
                <w:rFonts w:hAnsi="Arial" w:cs="Arial"/>
                <w:b/>
                <w:bCs/>
                <w:iCs/>
                <w:sz w:val="20"/>
                <w:szCs w:val="20"/>
                <w:lang w:val="en-GB"/>
              </w:rPr>
            </w:pPr>
            <w:r w:rsidRPr="00265A49">
              <w:rPr>
                <w:rFonts w:hAnsi="Arial" w:cs="Arial"/>
                <w:sz w:val="20"/>
                <w:szCs w:val="20"/>
                <w:lang w:val="en-GB"/>
              </w:rPr>
              <w:t>5.8</w:t>
            </w:r>
          </w:p>
        </w:tc>
      </w:tr>
      <w:tr w:rsidR="003327CE" w:rsidRPr="00265A49" w14:paraId="75B05E3E" w14:textId="77777777" w:rsidTr="00265A49">
        <w:trPr>
          <w:trHeight w:val="409"/>
        </w:trPr>
        <w:tc>
          <w:tcPr>
            <w:tcW w:w="0" w:type="auto"/>
          </w:tcPr>
          <w:p w14:paraId="46159A59" w14:textId="77777777" w:rsidR="003327CE" w:rsidRPr="00265A49" w:rsidRDefault="003327CE" w:rsidP="00E7110E">
            <w:pPr>
              <w:pStyle w:val="Body"/>
              <w:pBdr>
                <w:top w:val="none" w:sz="0" w:space="0" w:color="auto"/>
                <w:left w:val="none" w:sz="0" w:space="0" w:color="auto"/>
                <w:bottom w:val="none" w:sz="0" w:space="0" w:color="auto"/>
                <w:right w:val="none" w:sz="0" w:space="0" w:color="auto"/>
                <w:bar w:val="none" w:sz="0" w:color="auto"/>
              </w:pBdr>
              <w:spacing w:before="0"/>
              <w:rPr>
                <w:rFonts w:hAnsi="Arial" w:cs="Arial"/>
                <w:sz w:val="20"/>
                <w:szCs w:val="20"/>
                <w:lang w:val="en-GB"/>
              </w:rPr>
            </w:pPr>
            <w:r w:rsidRPr="00265A49">
              <w:rPr>
                <w:rFonts w:hAnsi="Arial" w:cs="Arial"/>
                <w:sz w:val="20"/>
                <w:szCs w:val="20"/>
                <w:lang w:val="en-GB"/>
              </w:rPr>
              <w:t>Total</w:t>
            </w:r>
          </w:p>
        </w:tc>
        <w:tc>
          <w:tcPr>
            <w:tcW w:w="0" w:type="auto"/>
          </w:tcPr>
          <w:p w14:paraId="45CF186E" w14:textId="77777777" w:rsidR="003327CE" w:rsidRPr="00265A49" w:rsidRDefault="003327CE" w:rsidP="00265A49">
            <w:pPr>
              <w:pStyle w:val="Body"/>
              <w:pBdr>
                <w:top w:val="none" w:sz="0" w:space="0" w:color="auto"/>
                <w:left w:val="none" w:sz="0" w:space="0" w:color="auto"/>
                <w:bottom w:val="none" w:sz="0" w:space="0" w:color="auto"/>
                <w:right w:val="none" w:sz="0" w:space="0" w:color="auto"/>
                <w:bar w:val="none" w:sz="0" w:color="auto"/>
              </w:pBdr>
              <w:spacing w:before="0"/>
              <w:jc w:val="right"/>
              <w:rPr>
                <w:rFonts w:hAnsi="Arial" w:cs="Arial"/>
                <w:b/>
                <w:bCs/>
                <w:iCs/>
                <w:sz w:val="20"/>
                <w:szCs w:val="20"/>
                <w:lang w:val="en-GB"/>
              </w:rPr>
            </w:pPr>
            <w:r w:rsidRPr="00265A49">
              <w:rPr>
                <w:rFonts w:hAnsi="Arial" w:cs="Arial"/>
                <w:sz w:val="20"/>
                <w:szCs w:val="20"/>
                <w:lang w:val="en-GB"/>
              </w:rPr>
              <w:t>13513</w:t>
            </w:r>
          </w:p>
        </w:tc>
        <w:tc>
          <w:tcPr>
            <w:tcW w:w="0" w:type="auto"/>
          </w:tcPr>
          <w:p w14:paraId="34E91478" w14:textId="77777777" w:rsidR="003327CE" w:rsidRPr="00265A49" w:rsidRDefault="003327CE" w:rsidP="00265A49">
            <w:pPr>
              <w:pStyle w:val="Body"/>
              <w:pBdr>
                <w:top w:val="none" w:sz="0" w:space="0" w:color="auto"/>
                <w:left w:val="none" w:sz="0" w:space="0" w:color="auto"/>
                <w:bottom w:val="none" w:sz="0" w:space="0" w:color="auto"/>
                <w:right w:val="none" w:sz="0" w:space="0" w:color="auto"/>
                <w:bar w:val="none" w:sz="0" w:color="auto"/>
              </w:pBdr>
              <w:spacing w:before="0"/>
              <w:jc w:val="right"/>
              <w:rPr>
                <w:rFonts w:hAnsi="Arial" w:cs="Arial"/>
                <w:b/>
                <w:bCs/>
                <w:iCs/>
                <w:sz w:val="20"/>
                <w:szCs w:val="20"/>
                <w:lang w:val="en-GB"/>
              </w:rPr>
            </w:pPr>
            <w:r w:rsidRPr="00265A49">
              <w:rPr>
                <w:rFonts w:hAnsi="Arial" w:cs="Arial"/>
                <w:sz w:val="20"/>
                <w:szCs w:val="20"/>
                <w:lang w:val="en-GB"/>
              </w:rPr>
              <w:t>100.0</w:t>
            </w:r>
          </w:p>
        </w:tc>
        <w:tc>
          <w:tcPr>
            <w:tcW w:w="0" w:type="auto"/>
          </w:tcPr>
          <w:p w14:paraId="6CC317A2" w14:textId="77777777" w:rsidR="003327CE" w:rsidRPr="00265A49" w:rsidRDefault="003327CE" w:rsidP="00265A49">
            <w:pPr>
              <w:pStyle w:val="Body"/>
              <w:pBdr>
                <w:top w:val="none" w:sz="0" w:space="0" w:color="auto"/>
                <w:left w:val="none" w:sz="0" w:space="0" w:color="auto"/>
                <w:bottom w:val="none" w:sz="0" w:space="0" w:color="auto"/>
                <w:right w:val="none" w:sz="0" w:space="0" w:color="auto"/>
                <w:bar w:val="none" w:sz="0" w:color="auto"/>
              </w:pBdr>
              <w:spacing w:before="0"/>
              <w:jc w:val="right"/>
              <w:rPr>
                <w:rFonts w:hAnsi="Arial" w:cs="Arial"/>
                <w:b/>
                <w:bCs/>
                <w:iCs/>
                <w:sz w:val="20"/>
                <w:szCs w:val="20"/>
                <w:lang w:val="en-GB"/>
              </w:rPr>
            </w:pPr>
            <w:r w:rsidRPr="00265A49">
              <w:rPr>
                <w:rFonts w:hAnsi="Arial" w:cs="Arial"/>
                <w:sz w:val="20"/>
                <w:szCs w:val="20"/>
                <w:lang w:val="en-GB"/>
              </w:rPr>
              <w:t>14174</w:t>
            </w:r>
          </w:p>
        </w:tc>
        <w:tc>
          <w:tcPr>
            <w:tcW w:w="0" w:type="auto"/>
          </w:tcPr>
          <w:p w14:paraId="136E8C1A" w14:textId="77777777" w:rsidR="003327CE" w:rsidRPr="00265A49" w:rsidRDefault="003327CE" w:rsidP="00265A49">
            <w:pPr>
              <w:pStyle w:val="Body"/>
              <w:pBdr>
                <w:top w:val="none" w:sz="0" w:space="0" w:color="auto"/>
                <w:left w:val="none" w:sz="0" w:space="0" w:color="auto"/>
                <w:bottom w:val="none" w:sz="0" w:space="0" w:color="auto"/>
                <w:right w:val="none" w:sz="0" w:space="0" w:color="auto"/>
                <w:bar w:val="none" w:sz="0" w:color="auto"/>
              </w:pBdr>
              <w:spacing w:before="0"/>
              <w:jc w:val="right"/>
              <w:rPr>
                <w:rFonts w:hAnsi="Arial" w:cs="Arial"/>
                <w:b/>
                <w:bCs/>
                <w:iCs/>
                <w:sz w:val="20"/>
                <w:szCs w:val="20"/>
                <w:lang w:val="en-GB"/>
              </w:rPr>
            </w:pPr>
            <w:r w:rsidRPr="00265A49">
              <w:rPr>
                <w:rFonts w:hAnsi="Arial" w:cs="Arial"/>
                <w:sz w:val="20"/>
                <w:szCs w:val="20"/>
                <w:lang w:val="en-GB"/>
              </w:rPr>
              <w:t>100.0</w:t>
            </w:r>
          </w:p>
        </w:tc>
        <w:tc>
          <w:tcPr>
            <w:tcW w:w="0" w:type="auto"/>
          </w:tcPr>
          <w:p w14:paraId="13018ACE" w14:textId="77777777" w:rsidR="003327CE" w:rsidRPr="00265A49" w:rsidRDefault="003327CE" w:rsidP="00265A49">
            <w:pPr>
              <w:pStyle w:val="Body"/>
              <w:pBdr>
                <w:top w:val="none" w:sz="0" w:space="0" w:color="auto"/>
                <w:left w:val="none" w:sz="0" w:space="0" w:color="auto"/>
                <w:bottom w:val="none" w:sz="0" w:space="0" w:color="auto"/>
                <w:right w:val="none" w:sz="0" w:space="0" w:color="auto"/>
                <w:bar w:val="none" w:sz="0" w:color="auto"/>
              </w:pBdr>
              <w:spacing w:before="0"/>
              <w:jc w:val="right"/>
              <w:rPr>
                <w:rFonts w:hAnsi="Arial" w:cs="Arial"/>
                <w:b/>
                <w:bCs/>
                <w:iCs/>
                <w:sz w:val="20"/>
                <w:szCs w:val="20"/>
                <w:lang w:val="en-GB"/>
              </w:rPr>
            </w:pPr>
            <w:r w:rsidRPr="00265A49">
              <w:rPr>
                <w:rFonts w:hAnsi="Arial" w:cs="Arial"/>
                <w:sz w:val="20"/>
                <w:szCs w:val="20"/>
                <w:lang w:val="en-GB"/>
              </w:rPr>
              <w:t>27687</w:t>
            </w:r>
          </w:p>
        </w:tc>
        <w:tc>
          <w:tcPr>
            <w:tcW w:w="0" w:type="auto"/>
          </w:tcPr>
          <w:p w14:paraId="3D36ADA5" w14:textId="77777777" w:rsidR="003327CE" w:rsidRPr="00265A49" w:rsidRDefault="003327CE" w:rsidP="00265A49">
            <w:pPr>
              <w:pStyle w:val="Body"/>
              <w:pBdr>
                <w:top w:val="none" w:sz="0" w:space="0" w:color="auto"/>
                <w:left w:val="none" w:sz="0" w:space="0" w:color="auto"/>
                <w:bottom w:val="none" w:sz="0" w:space="0" w:color="auto"/>
                <w:right w:val="none" w:sz="0" w:space="0" w:color="auto"/>
                <w:bar w:val="none" w:sz="0" w:color="auto"/>
              </w:pBdr>
              <w:spacing w:before="0"/>
              <w:jc w:val="right"/>
              <w:rPr>
                <w:rFonts w:hAnsi="Arial" w:cs="Arial"/>
                <w:b/>
                <w:bCs/>
                <w:iCs/>
                <w:sz w:val="20"/>
                <w:szCs w:val="20"/>
                <w:lang w:val="en-GB"/>
              </w:rPr>
            </w:pPr>
            <w:r w:rsidRPr="00265A49">
              <w:rPr>
                <w:rFonts w:hAnsi="Arial" w:cs="Arial"/>
                <w:sz w:val="20"/>
                <w:szCs w:val="20"/>
                <w:lang w:val="en-GB"/>
              </w:rPr>
              <w:t>100.0</w:t>
            </w:r>
          </w:p>
        </w:tc>
      </w:tr>
    </w:tbl>
    <w:p w14:paraId="0A1C5F6C" w14:textId="77777777" w:rsidR="003327CE" w:rsidRPr="00E54551" w:rsidRDefault="003327CE" w:rsidP="003327CE">
      <w:pPr>
        <w:pStyle w:val="Body"/>
        <w:pBdr>
          <w:top w:val="none" w:sz="0" w:space="0" w:color="auto"/>
          <w:left w:val="none" w:sz="0" w:space="0" w:color="auto"/>
          <w:bottom w:val="none" w:sz="0" w:space="0" w:color="auto"/>
          <w:right w:val="none" w:sz="0" w:space="0" w:color="auto"/>
          <w:bar w:val="none" w:sz="0" w:color="auto"/>
        </w:pBdr>
        <w:spacing w:before="0" w:line="240" w:lineRule="auto"/>
        <w:rPr>
          <w:rFonts w:hAnsi="Arial" w:cs="Arial"/>
          <w:lang w:val="en-GB"/>
        </w:rPr>
      </w:pPr>
    </w:p>
    <w:p w14:paraId="7D855F1D" w14:textId="77777777" w:rsidR="003327CE" w:rsidRPr="00003EC0" w:rsidRDefault="003327CE" w:rsidP="003327CE">
      <w:pPr>
        <w:pStyle w:val="Body"/>
        <w:pBdr>
          <w:top w:val="none" w:sz="0" w:space="0" w:color="auto"/>
          <w:left w:val="none" w:sz="0" w:space="0" w:color="auto"/>
          <w:bottom w:val="none" w:sz="0" w:space="0" w:color="auto"/>
          <w:right w:val="none" w:sz="0" w:space="0" w:color="auto"/>
          <w:bar w:val="none" w:sz="0" w:color="auto"/>
        </w:pBdr>
        <w:spacing w:before="0" w:line="240" w:lineRule="auto"/>
        <w:jc w:val="both"/>
        <w:rPr>
          <w:rFonts w:hAnsi="Arial" w:cs="Arial"/>
          <w:lang w:val="en-GB"/>
        </w:rPr>
      </w:pPr>
      <w:r w:rsidRPr="00003EC0">
        <w:rPr>
          <w:rFonts w:hAnsi="Arial" w:cs="Arial"/>
          <w:lang w:val="en-GB"/>
        </w:rPr>
        <w:t>The following table from the same Census compares disabled people according to age group:</w:t>
      </w:r>
    </w:p>
    <w:p w14:paraId="009ED42D" w14:textId="77777777" w:rsidR="003327CE" w:rsidRPr="00003EC0" w:rsidRDefault="003327CE" w:rsidP="003327CE">
      <w:pPr>
        <w:pStyle w:val="Body"/>
        <w:pBdr>
          <w:top w:val="none" w:sz="0" w:space="0" w:color="auto"/>
          <w:left w:val="none" w:sz="0" w:space="0" w:color="auto"/>
          <w:bottom w:val="none" w:sz="0" w:space="0" w:color="auto"/>
          <w:right w:val="none" w:sz="0" w:space="0" w:color="auto"/>
          <w:bar w:val="none" w:sz="0" w:color="auto"/>
        </w:pBdr>
        <w:spacing w:before="0" w:line="240" w:lineRule="auto"/>
        <w:jc w:val="both"/>
        <w:rPr>
          <w:rFonts w:hAnsi="Arial" w:cs="Arial"/>
          <w:lang w:val="en-GB"/>
        </w:rPr>
      </w:pPr>
    </w:p>
    <w:p w14:paraId="3C0A960E" w14:textId="5F0A1A8D" w:rsidR="003327CE" w:rsidRPr="002C6495" w:rsidRDefault="003327CE" w:rsidP="002C6495">
      <w:pPr>
        <w:jc w:val="both"/>
        <w:rPr>
          <w:rFonts w:eastAsia="Arial Unicode MS"/>
          <w:b/>
          <w:bCs/>
          <w:color w:val="000000"/>
          <w:u w:color="000000"/>
        </w:rPr>
      </w:pPr>
      <w:r w:rsidRPr="00003EC0">
        <w:rPr>
          <w:b/>
          <w:bCs/>
        </w:rPr>
        <w:br w:type="page"/>
      </w:r>
    </w:p>
    <w:p w14:paraId="2440456D" w14:textId="312A2F5A" w:rsidR="00265A49" w:rsidRDefault="00265A49" w:rsidP="00265A49">
      <w:pPr>
        <w:pStyle w:val="Caption"/>
        <w:keepNext/>
      </w:pPr>
      <w:r>
        <w:lastRenderedPageBreak/>
        <w:t xml:space="preserve">Table </w:t>
      </w:r>
      <w:r w:rsidR="002C6495">
        <w:rPr>
          <w:noProof/>
        </w:rPr>
        <w:fldChar w:fldCharType="begin"/>
      </w:r>
      <w:r w:rsidR="002C6495">
        <w:rPr>
          <w:noProof/>
        </w:rPr>
        <w:instrText xml:space="preserve"> SEQ Table \* ARABIC </w:instrText>
      </w:r>
      <w:r w:rsidR="002C6495">
        <w:rPr>
          <w:noProof/>
        </w:rPr>
        <w:fldChar w:fldCharType="separate"/>
      </w:r>
      <w:r w:rsidR="00FE3D2A">
        <w:rPr>
          <w:noProof/>
        </w:rPr>
        <w:t>14</w:t>
      </w:r>
      <w:r w:rsidR="002C6495">
        <w:rPr>
          <w:noProof/>
        </w:rPr>
        <w:fldChar w:fldCharType="end"/>
      </w:r>
      <w:r>
        <w:t xml:space="preserve">: </w:t>
      </w:r>
      <w:r w:rsidRPr="007F2C74">
        <w:t>Labour Status of Disabled People by age groups (2011 Census)</w:t>
      </w:r>
    </w:p>
    <w:tbl>
      <w:tblPr>
        <w:tblStyle w:val="TableGrid1"/>
        <w:tblW w:w="0" w:type="auto"/>
        <w:tblLook w:val="00A0" w:firstRow="1" w:lastRow="0" w:firstColumn="1" w:lastColumn="0" w:noHBand="0" w:noVBand="0"/>
      </w:tblPr>
      <w:tblGrid>
        <w:gridCol w:w="3385"/>
        <w:gridCol w:w="750"/>
        <w:gridCol w:w="1139"/>
        <w:gridCol w:w="750"/>
        <w:gridCol w:w="1139"/>
        <w:gridCol w:w="750"/>
        <w:gridCol w:w="1139"/>
      </w:tblGrid>
      <w:tr w:rsidR="003327CE" w:rsidRPr="00265A49" w14:paraId="4DA8EF55" w14:textId="77777777" w:rsidTr="00265A49">
        <w:trPr>
          <w:trHeight w:val="260"/>
        </w:trPr>
        <w:tc>
          <w:tcPr>
            <w:tcW w:w="0" w:type="auto"/>
            <w:vMerge w:val="restart"/>
          </w:tcPr>
          <w:p w14:paraId="7D2B690E" w14:textId="77777777" w:rsidR="003327CE" w:rsidRPr="00265A49" w:rsidRDefault="003327CE" w:rsidP="00E7110E">
            <w:pPr>
              <w:pStyle w:val="Body"/>
              <w:keepNext/>
              <w:keepLines/>
              <w:pBdr>
                <w:top w:val="none" w:sz="0" w:space="0" w:color="auto"/>
                <w:left w:val="none" w:sz="0" w:space="0" w:color="auto"/>
                <w:bottom w:val="none" w:sz="0" w:space="0" w:color="auto"/>
                <w:right w:val="none" w:sz="0" w:space="0" w:color="auto"/>
                <w:bar w:val="none" w:sz="0" w:color="auto"/>
              </w:pBdr>
              <w:spacing w:before="0"/>
              <w:outlineLvl w:val="5"/>
              <w:rPr>
                <w:rFonts w:hAnsi="Arial" w:cs="Arial"/>
                <w:sz w:val="20"/>
                <w:szCs w:val="20"/>
                <w:lang w:val="en-GB"/>
              </w:rPr>
            </w:pPr>
            <w:r w:rsidRPr="00265A49">
              <w:rPr>
                <w:rFonts w:hAnsi="Arial" w:cs="Arial"/>
                <w:sz w:val="20"/>
                <w:szCs w:val="20"/>
                <w:lang w:val="en-GB"/>
              </w:rPr>
              <w:t> </w:t>
            </w:r>
          </w:p>
        </w:tc>
        <w:tc>
          <w:tcPr>
            <w:tcW w:w="0" w:type="auto"/>
            <w:gridSpan w:val="2"/>
          </w:tcPr>
          <w:p w14:paraId="056A335A" w14:textId="77777777" w:rsidR="003327CE" w:rsidRPr="00265A49" w:rsidRDefault="003327CE" w:rsidP="00265A49">
            <w:pPr>
              <w:pStyle w:val="Body"/>
              <w:pBdr>
                <w:top w:val="none" w:sz="0" w:space="0" w:color="auto"/>
                <w:left w:val="none" w:sz="0" w:space="0" w:color="auto"/>
                <w:bottom w:val="none" w:sz="0" w:space="0" w:color="auto"/>
                <w:right w:val="none" w:sz="0" w:space="0" w:color="auto"/>
                <w:bar w:val="none" w:sz="0" w:color="auto"/>
              </w:pBdr>
              <w:spacing w:before="0"/>
              <w:jc w:val="center"/>
              <w:rPr>
                <w:rFonts w:hAnsi="Arial" w:cs="Arial"/>
                <w:sz w:val="20"/>
                <w:szCs w:val="20"/>
                <w:lang w:val="en-GB"/>
              </w:rPr>
            </w:pPr>
            <w:r w:rsidRPr="00265A49">
              <w:rPr>
                <w:rFonts w:hAnsi="Arial" w:cs="Arial"/>
                <w:sz w:val="20"/>
                <w:szCs w:val="20"/>
                <w:lang w:val="en-GB"/>
              </w:rPr>
              <w:t>15-20</w:t>
            </w:r>
          </w:p>
        </w:tc>
        <w:tc>
          <w:tcPr>
            <w:tcW w:w="0" w:type="auto"/>
            <w:gridSpan w:val="2"/>
          </w:tcPr>
          <w:p w14:paraId="5640C183" w14:textId="77777777" w:rsidR="003327CE" w:rsidRPr="00265A49" w:rsidRDefault="003327CE" w:rsidP="00265A49">
            <w:pPr>
              <w:pStyle w:val="Body"/>
              <w:pBdr>
                <w:top w:val="none" w:sz="0" w:space="0" w:color="auto"/>
                <w:left w:val="none" w:sz="0" w:space="0" w:color="auto"/>
                <w:bottom w:val="none" w:sz="0" w:space="0" w:color="auto"/>
                <w:right w:val="none" w:sz="0" w:space="0" w:color="auto"/>
                <w:bar w:val="none" w:sz="0" w:color="auto"/>
              </w:pBdr>
              <w:spacing w:before="0"/>
              <w:jc w:val="center"/>
              <w:rPr>
                <w:rFonts w:hAnsi="Arial" w:cs="Arial"/>
                <w:sz w:val="20"/>
                <w:szCs w:val="20"/>
                <w:lang w:val="en-GB"/>
              </w:rPr>
            </w:pPr>
            <w:r w:rsidRPr="00265A49">
              <w:rPr>
                <w:rFonts w:hAnsi="Arial" w:cs="Arial"/>
                <w:sz w:val="20"/>
                <w:szCs w:val="20"/>
                <w:lang w:val="en-GB"/>
              </w:rPr>
              <w:t>21-30</w:t>
            </w:r>
          </w:p>
        </w:tc>
        <w:tc>
          <w:tcPr>
            <w:tcW w:w="0" w:type="auto"/>
            <w:gridSpan w:val="2"/>
          </w:tcPr>
          <w:p w14:paraId="0D4C92D0" w14:textId="77777777" w:rsidR="003327CE" w:rsidRPr="00265A49" w:rsidRDefault="003327CE" w:rsidP="00265A49">
            <w:pPr>
              <w:pStyle w:val="Body"/>
              <w:pBdr>
                <w:top w:val="none" w:sz="0" w:space="0" w:color="auto"/>
                <w:left w:val="none" w:sz="0" w:space="0" w:color="auto"/>
                <w:bottom w:val="none" w:sz="0" w:space="0" w:color="auto"/>
                <w:right w:val="none" w:sz="0" w:space="0" w:color="auto"/>
                <w:bar w:val="none" w:sz="0" w:color="auto"/>
              </w:pBdr>
              <w:spacing w:before="0"/>
              <w:jc w:val="center"/>
              <w:rPr>
                <w:rFonts w:hAnsi="Arial" w:cs="Arial"/>
                <w:sz w:val="20"/>
                <w:szCs w:val="20"/>
                <w:lang w:val="en-GB"/>
              </w:rPr>
            </w:pPr>
            <w:r w:rsidRPr="00265A49">
              <w:rPr>
                <w:rFonts w:hAnsi="Arial" w:cs="Arial"/>
                <w:sz w:val="20"/>
                <w:szCs w:val="20"/>
                <w:lang w:val="en-GB"/>
              </w:rPr>
              <w:t>31-40</w:t>
            </w:r>
          </w:p>
        </w:tc>
      </w:tr>
      <w:tr w:rsidR="003327CE" w:rsidRPr="00265A49" w14:paraId="062D3AC1" w14:textId="77777777" w:rsidTr="00265A49">
        <w:trPr>
          <w:trHeight w:val="260"/>
        </w:trPr>
        <w:tc>
          <w:tcPr>
            <w:tcW w:w="0" w:type="auto"/>
            <w:vMerge/>
          </w:tcPr>
          <w:p w14:paraId="64F26B70" w14:textId="77777777" w:rsidR="003327CE" w:rsidRPr="00265A49" w:rsidRDefault="003327CE" w:rsidP="00E7110E">
            <w:pPr>
              <w:rPr>
                <w:sz w:val="20"/>
                <w:szCs w:val="20"/>
              </w:rPr>
            </w:pPr>
          </w:p>
        </w:tc>
        <w:tc>
          <w:tcPr>
            <w:tcW w:w="0" w:type="auto"/>
          </w:tcPr>
          <w:p w14:paraId="4310A68B" w14:textId="77777777" w:rsidR="003327CE" w:rsidRPr="00265A49" w:rsidRDefault="003327CE" w:rsidP="00265A49">
            <w:pPr>
              <w:pStyle w:val="Body"/>
              <w:pBdr>
                <w:top w:val="none" w:sz="0" w:space="0" w:color="auto"/>
                <w:left w:val="none" w:sz="0" w:space="0" w:color="auto"/>
                <w:bottom w:val="none" w:sz="0" w:space="0" w:color="auto"/>
                <w:right w:val="none" w:sz="0" w:space="0" w:color="auto"/>
                <w:bar w:val="none" w:sz="0" w:color="auto"/>
              </w:pBdr>
              <w:spacing w:before="0"/>
              <w:jc w:val="center"/>
              <w:rPr>
                <w:rFonts w:hAnsi="Arial" w:cs="Arial"/>
                <w:sz w:val="20"/>
                <w:szCs w:val="20"/>
                <w:lang w:val="en-GB"/>
              </w:rPr>
            </w:pPr>
            <w:r w:rsidRPr="00265A49">
              <w:rPr>
                <w:rFonts w:hAnsi="Arial" w:cs="Arial"/>
                <w:sz w:val="20"/>
                <w:szCs w:val="20"/>
                <w:lang w:val="en-GB"/>
              </w:rPr>
              <w:t>Count</w:t>
            </w:r>
          </w:p>
        </w:tc>
        <w:tc>
          <w:tcPr>
            <w:tcW w:w="0" w:type="auto"/>
          </w:tcPr>
          <w:p w14:paraId="70D1E9D3" w14:textId="77777777" w:rsidR="003327CE" w:rsidRPr="00265A49" w:rsidRDefault="003327CE" w:rsidP="00265A49">
            <w:pPr>
              <w:pStyle w:val="Body"/>
              <w:pBdr>
                <w:top w:val="none" w:sz="0" w:space="0" w:color="auto"/>
                <w:left w:val="none" w:sz="0" w:space="0" w:color="auto"/>
                <w:bottom w:val="none" w:sz="0" w:space="0" w:color="auto"/>
                <w:right w:val="none" w:sz="0" w:space="0" w:color="auto"/>
                <w:bar w:val="none" w:sz="0" w:color="auto"/>
              </w:pBdr>
              <w:spacing w:before="0"/>
              <w:jc w:val="center"/>
              <w:rPr>
                <w:rFonts w:hAnsi="Arial" w:cs="Arial"/>
                <w:sz w:val="20"/>
                <w:szCs w:val="20"/>
                <w:lang w:val="en-GB"/>
              </w:rPr>
            </w:pPr>
            <w:r w:rsidRPr="00265A49">
              <w:rPr>
                <w:rFonts w:hAnsi="Arial" w:cs="Arial"/>
                <w:sz w:val="20"/>
                <w:szCs w:val="20"/>
                <w:lang w:val="en-GB"/>
              </w:rPr>
              <w:t>Column %</w:t>
            </w:r>
          </w:p>
        </w:tc>
        <w:tc>
          <w:tcPr>
            <w:tcW w:w="0" w:type="auto"/>
          </w:tcPr>
          <w:p w14:paraId="400440DC" w14:textId="77777777" w:rsidR="003327CE" w:rsidRPr="00265A49" w:rsidRDefault="003327CE" w:rsidP="00265A49">
            <w:pPr>
              <w:pStyle w:val="Body"/>
              <w:pBdr>
                <w:top w:val="none" w:sz="0" w:space="0" w:color="auto"/>
                <w:left w:val="none" w:sz="0" w:space="0" w:color="auto"/>
                <w:bottom w:val="none" w:sz="0" w:space="0" w:color="auto"/>
                <w:right w:val="none" w:sz="0" w:space="0" w:color="auto"/>
                <w:bar w:val="none" w:sz="0" w:color="auto"/>
              </w:pBdr>
              <w:spacing w:before="0"/>
              <w:jc w:val="center"/>
              <w:rPr>
                <w:rFonts w:hAnsi="Arial" w:cs="Arial"/>
                <w:sz w:val="20"/>
                <w:szCs w:val="20"/>
                <w:lang w:val="en-GB"/>
              </w:rPr>
            </w:pPr>
            <w:r w:rsidRPr="00265A49">
              <w:rPr>
                <w:rFonts w:hAnsi="Arial" w:cs="Arial"/>
                <w:sz w:val="20"/>
                <w:szCs w:val="20"/>
                <w:lang w:val="en-GB"/>
              </w:rPr>
              <w:t>Count</w:t>
            </w:r>
          </w:p>
        </w:tc>
        <w:tc>
          <w:tcPr>
            <w:tcW w:w="0" w:type="auto"/>
          </w:tcPr>
          <w:p w14:paraId="7E38FF7A" w14:textId="77777777" w:rsidR="003327CE" w:rsidRPr="00265A49" w:rsidRDefault="003327CE" w:rsidP="00265A49">
            <w:pPr>
              <w:pStyle w:val="Body"/>
              <w:pBdr>
                <w:top w:val="none" w:sz="0" w:space="0" w:color="auto"/>
                <w:left w:val="none" w:sz="0" w:space="0" w:color="auto"/>
                <w:bottom w:val="none" w:sz="0" w:space="0" w:color="auto"/>
                <w:right w:val="none" w:sz="0" w:space="0" w:color="auto"/>
                <w:bar w:val="none" w:sz="0" w:color="auto"/>
              </w:pBdr>
              <w:spacing w:before="0"/>
              <w:jc w:val="center"/>
              <w:rPr>
                <w:rFonts w:hAnsi="Arial" w:cs="Arial"/>
                <w:sz w:val="20"/>
                <w:szCs w:val="20"/>
                <w:lang w:val="en-GB"/>
              </w:rPr>
            </w:pPr>
            <w:r w:rsidRPr="00265A49">
              <w:rPr>
                <w:rFonts w:hAnsi="Arial" w:cs="Arial"/>
                <w:sz w:val="20"/>
                <w:szCs w:val="20"/>
                <w:lang w:val="en-GB"/>
              </w:rPr>
              <w:t>Column %</w:t>
            </w:r>
          </w:p>
        </w:tc>
        <w:tc>
          <w:tcPr>
            <w:tcW w:w="0" w:type="auto"/>
          </w:tcPr>
          <w:p w14:paraId="6BADD711" w14:textId="77777777" w:rsidR="003327CE" w:rsidRPr="00265A49" w:rsidRDefault="003327CE" w:rsidP="00265A49">
            <w:pPr>
              <w:pStyle w:val="Body"/>
              <w:pBdr>
                <w:top w:val="none" w:sz="0" w:space="0" w:color="auto"/>
                <w:left w:val="none" w:sz="0" w:space="0" w:color="auto"/>
                <w:bottom w:val="none" w:sz="0" w:space="0" w:color="auto"/>
                <w:right w:val="none" w:sz="0" w:space="0" w:color="auto"/>
                <w:bar w:val="none" w:sz="0" w:color="auto"/>
              </w:pBdr>
              <w:spacing w:before="0"/>
              <w:jc w:val="center"/>
              <w:rPr>
                <w:rFonts w:hAnsi="Arial" w:cs="Arial"/>
                <w:sz w:val="20"/>
                <w:szCs w:val="20"/>
                <w:lang w:val="en-GB"/>
              </w:rPr>
            </w:pPr>
            <w:r w:rsidRPr="00265A49">
              <w:rPr>
                <w:rFonts w:hAnsi="Arial" w:cs="Arial"/>
                <w:sz w:val="20"/>
                <w:szCs w:val="20"/>
                <w:lang w:val="en-GB"/>
              </w:rPr>
              <w:t>Count</w:t>
            </w:r>
          </w:p>
        </w:tc>
        <w:tc>
          <w:tcPr>
            <w:tcW w:w="0" w:type="auto"/>
          </w:tcPr>
          <w:p w14:paraId="072088D0" w14:textId="77777777" w:rsidR="003327CE" w:rsidRPr="00265A49" w:rsidRDefault="003327CE" w:rsidP="00265A49">
            <w:pPr>
              <w:pStyle w:val="Body"/>
              <w:pBdr>
                <w:top w:val="none" w:sz="0" w:space="0" w:color="auto"/>
                <w:left w:val="none" w:sz="0" w:space="0" w:color="auto"/>
                <w:bottom w:val="none" w:sz="0" w:space="0" w:color="auto"/>
                <w:right w:val="none" w:sz="0" w:space="0" w:color="auto"/>
                <w:bar w:val="none" w:sz="0" w:color="auto"/>
              </w:pBdr>
              <w:spacing w:before="0"/>
              <w:jc w:val="center"/>
              <w:rPr>
                <w:rFonts w:hAnsi="Arial" w:cs="Arial"/>
                <w:sz w:val="20"/>
                <w:szCs w:val="20"/>
                <w:lang w:val="en-GB"/>
              </w:rPr>
            </w:pPr>
            <w:r w:rsidRPr="00265A49">
              <w:rPr>
                <w:rFonts w:hAnsi="Arial" w:cs="Arial"/>
                <w:sz w:val="20"/>
                <w:szCs w:val="20"/>
                <w:lang w:val="en-GB"/>
              </w:rPr>
              <w:t>Column %</w:t>
            </w:r>
          </w:p>
        </w:tc>
      </w:tr>
      <w:tr w:rsidR="003327CE" w:rsidRPr="00265A49" w14:paraId="2DF87EA7" w14:textId="77777777" w:rsidTr="00265A49">
        <w:trPr>
          <w:trHeight w:val="209"/>
        </w:trPr>
        <w:tc>
          <w:tcPr>
            <w:tcW w:w="0" w:type="auto"/>
          </w:tcPr>
          <w:p w14:paraId="1033B184" w14:textId="77777777" w:rsidR="003327CE" w:rsidRPr="00265A49" w:rsidRDefault="003327CE" w:rsidP="00E7110E">
            <w:pPr>
              <w:pStyle w:val="Body"/>
              <w:pBdr>
                <w:top w:val="none" w:sz="0" w:space="0" w:color="auto"/>
                <w:left w:val="none" w:sz="0" w:space="0" w:color="auto"/>
                <w:bottom w:val="none" w:sz="0" w:space="0" w:color="auto"/>
                <w:right w:val="none" w:sz="0" w:space="0" w:color="auto"/>
                <w:bar w:val="none" w:sz="0" w:color="auto"/>
              </w:pBdr>
              <w:spacing w:before="0"/>
              <w:rPr>
                <w:rFonts w:hAnsi="Arial" w:cs="Arial"/>
                <w:sz w:val="20"/>
                <w:szCs w:val="20"/>
                <w:lang w:val="en-GB"/>
              </w:rPr>
            </w:pPr>
            <w:r w:rsidRPr="00265A49">
              <w:rPr>
                <w:rFonts w:hAnsi="Arial" w:cs="Arial"/>
                <w:sz w:val="20"/>
                <w:szCs w:val="20"/>
                <w:lang w:val="en-GB"/>
              </w:rPr>
              <w:t>Employed</w:t>
            </w:r>
          </w:p>
        </w:tc>
        <w:tc>
          <w:tcPr>
            <w:tcW w:w="0" w:type="auto"/>
          </w:tcPr>
          <w:p w14:paraId="2A2DDFA9" w14:textId="77777777" w:rsidR="003327CE" w:rsidRPr="00265A49" w:rsidRDefault="003327CE" w:rsidP="00265A49">
            <w:pPr>
              <w:pStyle w:val="Body"/>
              <w:pBdr>
                <w:top w:val="none" w:sz="0" w:space="0" w:color="auto"/>
                <w:left w:val="none" w:sz="0" w:space="0" w:color="auto"/>
                <w:bottom w:val="none" w:sz="0" w:space="0" w:color="auto"/>
                <w:right w:val="none" w:sz="0" w:space="0" w:color="auto"/>
                <w:bar w:val="none" w:sz="0" w:color="auto"/>
              </w:pBdr>
              <w:spacing w:before="0"/>
              <w:jc w:val="right"/>
              <w:rPr>
                <w:rFonts w:hAnsi="Arial" w:cs="Arial"/>
                <w:b/>
                <w:bCs/>
                <w:iCs/>
                <w:sz w:val="20"/>
                <w:szCs w:val="20"/>
                <w:lang w:val="en-GB"/>
              </w:rPr>
            </w:pPr>
            <w:r w:rsidRPr="00265A49">
              <w:rPr>
                <w:rFonts w:hAnsi="Arial" w:cs="Arial"/>
                <w:sz w:val="20"/>
                <w:szCs w:val="20"/>
                <w:lang w:val="en-GB"/>
              </w:rPr>
              <w:t>193</w:t>
            </w:r>
          </w:p>
        </w:tc>
        <w:tc>
          <w:tcPr>
            <w:tcW w:w="0" w:type="auto"/>
          </w:tcPr>
          <w:p w14:paraId="3CEA0D8B" w14:textId="77777777" w:rsidR="003327CE" w:rsidRPr="00265A49" w:rsidRDefault="003327CE" w:rsidP="00265A49">
            <w:pPr>
              <w:pStyle w:val="Body"/>
              <w:pBdr>
                <w:top w:val="none" w:sz="0" w:space="0" w:color="auto"/>
                <w:left w:val="none" w:sz="0" w:space="0" w:color="auto"/>
                <w:bottom w:val="none" w:sz="0" w:space="0" w:color="auto"/>
                <w:right w:val="none" w:sz="0" w:space="0" w:color="auto"/>
                <w:bar w:val="none" w:sz="0" w:color="auto"/>
              </w:pBdr>
              <w:spacing w:before="0"/>
              <w:jc w:val="right"/>
              <w:rPr>
                <w:rFonts w:hAnsi="Arial" w:cs="Arial"/>
                <w:b/>
                <w:bCs/>
                <w:iCs/>
                <w:sz w:val="20"/>
                <w:szCs w:val="20"/>
                <w:lang w:val="en-GB"/>
              </w:rPr>
            </w:pPr>
            <w:r w:rsidRPr="00265A49">
              <w:rPr>
                <w:rFonts w:hAnsi="Arial" w:cs="Arial"/>
                <w:sz w:val="20"/>
                <w:szCs w:val="20"/>
                <w:lang w:val="en-GB"/>
              </w:rPr>
              <w:t>15.4</w:t>
            </w:r>
          </w:p>
        </w:tc>
        <w:tc>
          <w:tcPr>
            <w:tcW w:w="0" w:type="auto"/>
          </w:tcPr>
          <w:p w14:paraId="7A165B58" w14:textId="77777777" w:rsidR="003327CE" w:rsidRPr="00265A49" w:rsidRDefault="003327CE" w:rsidP="00265A49">
            <w:pPr>
              <w:pStyle w:val="Body"/>
              <w:pBdr>
                <w:top w:val="none" w:sz="0" w:space="0" w:color="auto"/>
                <w:left w:val="none" w:sz="0" w:space="0" w:color="auto"/>
                <w:bottom w:val="none" w:sz="0" w:space="0" w:color="auto"/>
                <w:right w:val="none" w:sz="0" w:space="0" w:color="auto"/>
                <w:bar w:val="none" w:sz="0" w:color="auto"/>
              </w:pBdr>
              <w:spacing w:before="0"/>
              <w:jc w:val="right"/>
              <w:rPr>
                <w:rFonts w:hAnsi="Arial" w:cs="Arial"/>
                <w:b/>
                <w:bCs/>
                <w:iCs/>
                <w:sz w:val="20"/>
                <w:szCs w:val="20"/>
                <w:lang w:val="en-GB"/>
              </w:rPr>
            </w:pPr>
            <w:r w:rsidRPr="00265A49">
              <w:rPr>
                <w:rFonts w:hAnsi="Arial" w:cs="Arial"/>
                <w:sz w:val="20"/>
                <w:szCs w:val="20"/>
                <w:lang w:val="en-GB"/>
              </w:rPr>
              <w:t>679</w:t>
            </w:r>
          </w:p>
        </w:tc>
        <w:tc>
          <w:tcPr>
            <w:tcW w:w="0" w:type="auto"/>
          </w:tcPr>
          <w:p w14:paraId="46BB349B" w14:textId="77777777" w:rsidR="003327CE" w:rsidRPr="00265A49" w:rsidRDefault="003327CE" w:rsidP="00265A49">
            <w:pPr>
              <w:pStyle w:val="Body"/>
              <w:pBdr>
                <w:top w:val="none" w:sz="0" w:space="0" w:color="auto"/>
                <w:left w:val="none" w:sz="0" w:space="0" w:color="auto"/>
                <w:bottom w:val="none" w:sz="0" w:space="0" w:color="auto"/>
                <w:right w:val="none" w:sz="0" w:space="0" w:color="auto"/>
                <w:bar w:val="none" w:sz="0" w:color="auto"/>
              </w:pBdr>
              <w:spacing w:before="0"/>
              <w:jc w:val="right"/>
              <w:rPr>
                <w:rFonts w:hAnsi="Arial" w:cs="Arial"/>
                <w:b/>
                <w:bCs/>
                <w:iCs/>
                <w:sz w:val="20"/>
                <w:szCs w:val="20"/>
                <w:lang w:val="en-GB"/>
              </w:rPr>
            </w:pPr>
            <w:r w:rsidRPr="00265A49">
              <w:rPr>
                <w:rFonts w:hAnsi="Arial" w:cs="Arial"/>
                <w:sz w:val="20"/>
                <w:szCs w:val="20"/>
                <w:lang w:val="en-GB"/>
              </w:rPr>
              <w:t>43.6</w:t>
            </w:r>
          </w:p>
        </w:tc>
        <w:tc>
          <w:tcPr>
            <w:tcW w:w="0" w:type="auto"/>
          </w:tcPr>
          <w:p w14:paraId="16DDFF0B" w14:textId="77777777" w:rsidR="003327CE" w:rsidRPr="00265A49" w:rsidRDefault="003327CE" w:rsidP="00265A49">
            <w:pPr>
              <w:pStyle w:val="Body"/>
              <w:pBdr>
                <w:top w:val="none" w:sz="0" w:space="0" w:color="auto"/>
                <w:left w:val="none" w:sz="0" w:space="0" w:color="auto"/>
                <w:bottom w:val="none" w:sz="0" w:space="0" w:color="auto"/>
                <w:right w:val="none" w:sz="0" w:space="0" w:color="auto"/>
                <w:bar w:val="none" w:sz="0" w:color="auto"/>
              </w:pBdr>
              <w:spacing w:before="0"/>
              <w:jc w:val="right"/>
              <w:rPr>
                <w:rFonts w:hAnsi="Arial" w:cs="Arial"/>
                <w:b/>
                <w:bCs/>
                <w:iCs/>
                <w:sz w:val="20"/>
                <w:szCs w:val="20"/>
                <w:lang w:val="en-GB"/>
              </w:rPr>
            </w:pPr>
            <w:r w:rsidRPr="00265A49">
              <w:rPr>
                <w:rFonts w:hAnsi="Arial" w:cs="Arial"/>
                <w:sz w:val="20"/>
                <w:szCs w:val="20"/>
                <w:lang w:val="en-GB"/>
              </w:rPr>
              <w:t>792</w:t>
            </w:r>
          </w:p>
        </w:tc>
        <w:tc>
          <w:tcPr>
            <w:tcW w:w="0" w:type="auto"/>
          </w:tcPr>
          <w:p w14:paraId="5D8E0F94" w14:textId="77777777" w:rsidR="003327CE" w:rsidRPr="00265A49" w:rsidRDefault="003327CE" w:rsidP="00265A49">
            <w:pPr>
              <w:pStyle w:val="Body"/>
              <w:pBdr>
                <w:top w:val="none" w:sz="0" w:space="0" w:color="auto"/>
                <w:left w:val="none" w:sz="0" w:space="0" w:color="auto"/>
                <w:bottom w:val="none" w:sz="0" w:space="0" w:color="auto"/>
                <w:right w:val="none" w:sz="0" w:space="0" w:color="auto"/>
                <w:bar w:val="none" w:sz="0" w:color="auto"/>
              </w:pBdr>
              <w:spacing w:before="0"/>
              <w:jc w:val="right"/>
              <w:rPr>
                <w:rFonts w:hAnsi="Arial" w:cs="Arial"/>
                <w:b/>
                <w:bCs/>
                <w:iCs/>
                <w:sz w:val="20"/>
                <w:szCs w:val="20"/>
                <w:lang w:val="en-GB"/>
              </w:rPr>
            </w:pPr>
            <w:r w:rsidRPr="00265A49">
              <w:rPr>
                <w:rFonts w:hAnsi="Arial" w:cs="Arial"/>
                <w:sz w:val="20"/>
                <w:szCs w:val="20"/>
                <w:lang w:val="en-GB"/>
              </w:rPr>
              <w:t>41.4</w:t>
            </w:r>
          </w:p>
        </w:tc>
      </w:tr>
      <w:tr w:rsidR="003327CE" w:rsidRPr="00265A49" w14:paraId="073E20FE" w14:textId="77777777" w:rsidTr="00265A49">
        <w:trPr>
          <w:trHeight w:val="194"/>
        </w:trPr>
        <w:tc>
          <w:tcPr>
            <w:tcW w:w="0" w:type="auto"/>
          </w:tcPr>
          <w:p w14:paraId="311F9700" w14:textId="77777777" w:rsidR="003327CE" w:rsidRPr="00265A49" w:rsidRDefault="003327CE" w:rsidP="00E7110E">
            <w:pPr>
              <w:pStyle w:val="Body"/>
              <w:pBdr>
                <w:top w:val="none" w:sz="0" w:space="0" w:color="auto"/>
                <w:left w:val="none" w:sz="0" w:space="0" w:color="auto"/>
                <w:bottom w:val="none" w:sz="0" w:space="0" w:color="auto"/>
                <w:right w:val="none" w:sz="0" w:space="0" w:color="auto"/>
                <w:bar w:val="none" w:sz="0" w:color="auto"/>
              </w:pBdr>
              <w:spacing w:before="0"/>
              <w:rPr>
                <w:rFonts w:hAnsi="Arial" w:cs="Arial"/>
                <w:sz w:val="20"/>
                <w:szCs w:val="20"/>
                <w:lang w:val="en-GB"/>
              </w:rPr>
            </w:pPr>
            <w:r w:rsidRPr="00265A49">
              <w:rPr>
                <w:rFonts w:hAnsi="Arial" w:cs="Arial"/>
                <w:sz w:val="20"/>
                <w:szCs w:val="20"/>
                <w:lang w:val="en-GB"/>
              </w:rPr>
              <w:t>Unemployed</w:t>
            </w:r>
          </w:p>
        </w:tc>
        <w:tc>
          <w:tcPr>
            <w:tcW w:w="0" w:type="auto"/>
          </w:tcPr>
          <w:p w14:paraId="23F095AC" w14:textId="77777777" w:rsidR="003327CE" w:rsidRPr="00265A49" w:rsidRDefault="003327CE" w:rsidP="00265A49">
            <w:pPr>
              <w:pStyle w:val="Body"/>
              <w:pBdr>
                <w:top w:val="none" w:sz="0" w:space="0" w:color="auto"/>
                <w:left w:val="none" w:sz="0" w:space="0" w:color="auto"/>
                <w:bottom w:val="none" w:sz="0" w:space="0" w:color="auto"/>
                <w:right w:val="none" w:sz="0" w:space="0" w:color="auto"/>
                <w:bar w:val="none" w:sz="0" w:color="auto"/>
              </w:pBdr>
              <w:spacing w:before="0"/>
              <w:jc w:val="right"/>
              <w:rPr>
                <w:rFonts w:hAnsi="Arial" w:cs="Arial"/>
                <w:b/>
                <w:bCs/>
                <w:iCs/>
                <w:sz w:val="20"/>
                <w:szCs w:val="20"/>
                <w:lang w:val="en-GB"/>
              </w:rPr>
            </w:pPr>
            <w:r w:rsidRPr="00265A49">
              <w:rPr>
                <w:rFonts w:hAnsi="Arial" w:cs="Arial"/>
                <w:sz w:val="20"/>
                <w:szCs w:val="20"/>
                <w:lang w:val="en-GB"/>
              </w:rPr>
              <w:t>76</w:t>
            </w:r>
          </w:p>
        </w:tc>
        <w:tc>
          <w:tcPr>
            <w:tcW w:w="0" w:type="auto"/>
          </w:tcPr>
          <w:p w14:paraId="5FAAA393" w14:textId="77777777" w:rsidR="003327CE" w:rsidRPr="00265A49" w:rsidRDefault="003327CE" w:rsidP="00265A49">
            <w:pPr>
              <w:pStyle w:val="Body"/>
              <w:pBdr>
                <w:top w:val="none" w:sz="0" w:space="0" w:color="auto"/>
                <w:left w:val="none" w:sz="0" w:space="0" w:color="auto"/>
                <w:bottom w:val="none" w:sz="0" w:space="0" w:color="auto"/>
                <w:right w:val="none" w:sz="0" w:space="0" w:color="auto"/>
                <w:bar w:val="none" w:sz="0" w:color="auto"/>
              </w:pBdr>
              <w:spacing w:before="0"/>
              <w:jc w:val="right"/>
              <w:rPr>
                <w:rFonts w:hAnsi="Arial" w:cs="Arial"/>
                <w:b/>
                <w:bCs/>
                <w:iCs/>
                <w:sz w:val="20"/>
                <w:szCs w:val="20"/>
                <w:lang w:val="en-GB"/>
              </w:rPr>
            </w:pPr>
            <w:r w:rsidRPr="00265A49">
              <w:rPr>
                <w:rFonts w:hAnsi="Arial" w:cs="Arial"/>
                <w:sz w:val="20"/>
                <w:szCs w:val="20"/>
                <w:lang w:val="en-GB"/>
              </w:rPr>
              <w:t>6.1</w:t>
            </w:r>
          </w:p>
        </w:tc>
        <w:tc>
          <w:tcPr>
            <w:tcW w:w="0" w:type="auto"/>
          </w:tcPr>
          <w:p w14:paraId="3052322B" w14:textId="77777777" w:rsidR="003327CE" w:rsidRPr="00265A49" w:rsidRDefault="003327CE" w:rsidP="00265A49">
            <w:pPr>
              <w:pStyle w:val="Body"/>
              <w:pBdr>
                <w:top w:val="none" w:sz="0" w:space="0" w:color="auto"/>
                <w:left w:val="none" w:sz="0" w:space="0" w:color="auto"/>
                <w:bottom w:val="none" w:sz="0" w:space="0" w:color="auto"/>
                <w:right w:val="none" w:sz="0" w:space="0" w:color="auto"/>
                <w:bar w:val="none" w:sz="0" w:color="auto"/>
              </w:pBdr>
              <w:spacing w:before="0"/>
              <w:jc w:val="right"/>
              <w:rPr>
                <w:rFonts w:hAnsi="Arial" w:cs="Arial"/>
                <w:b/>
                <w:bCs/>
                <w:iCs/>
                <w:sz w:val="20"/>
                <w:szCs w:val="20"/>
                <w:lang w:val="en-GB"/>
              </w:rPr>
            </w:pPr>
            <w:r w:rsidRPr="00265A49">
              <w:rPr>
                <w:rFonts w:hAnsi="Arial" w:cs="Arial"/>
                <w:sz w:val="20"/>
                <w:szCs w:val="20"/>
                <w:lang w:val="en-GB"/>
              </w:rPr>
              <w:t>129</w:t>
            </w:r>
          </w:p>
        </w:tc>
        <w:tc>
          <w:tcPr>
            <w:tcW w:w="0" w:type="auto"/>
          </w:tcPr>
          <w:p w14:paraId="5C5B6772" w14:textId="77777777" w:rsidR="003327CE" w:rsidRPr="00265A49" w:rsidRDefault="003327CE" w:rsidP="00265A49">
            <w:pPr>
              <w:pStyle w:val="Body"/>
              <w:pBdr>
                <w:top w:val="none" w:sz="0" w:space="0" w:color="auto"/>
                <w:left w:val="none" w:sz="0" w:space="0" w:color="auto"/>
                <w:bottom w:val="none" w:sz="0" w:space="0" w:color="auto"/>
                <w:right w:val="none" w:sz="0" w:space="0" w:color="auto"/>
                <w:bar w:val="none" w:sz="0" w:color="auto"/>
              </w:pBdr>
              <w:spacing w:before="0"/>
              <w:jc w:val="right"/>
              <w:rPr>
                <w:rFonts w:hAnsi="Arial" w:cs="Arial"/>
                <w:b/>
                <w:bCs/>
                <w:iCs/>
                <w:sz w:val="20"/>
                <w:szCs w:val="20"/>
                <w:lang w:val="en-GB"/>
              </w:rPr>
            </w:pPr>
            <w:r w:rsidRPr="00265A49">
              <w:rPr>
                <w:rFonts w:hAnsi="Arial" w:cs="Arial"/>
                <w:sz w:val="20"/>
                <w:szCs w:val="20"/>
                <w:lang w:val="en-GB"/>
              </w:rPr>
              <w:t>8.3</w:t>
            </w:r>
          </w:p>
        </w:tc>
        <w:tc>
          <w:tcPr>
            <w:tcW w:w="0" w:type="auto"/>
          </w:tcPr>
          <w:p w14:paraId="399C79B9" w14:textId="77777777" w:rsidR="003327CE" w:rsidRPr="00265A49" w:rsidRDefault="003327CE" w:rsidP="00265A49">
            <w:pPr>
              <w:pStyle w:val="Body"/>
              <w:pBdr>
                <w:top w:val="none" w:sz="0" w:space="0" w:color="auto"/>
                <w:left w:val="none" w:sz="0" w:space="0" w:color="auto"/>
                <w:bottom w:val="none" w:sz="0" w:space="0" w:color="auto"/>
                <w:right w:val="none" w:sz="0" w:space="0" w:color="auto"/>
                <w:bar w:val="none" w:sz="0" w:color="auto"/>
              </w:pBdr>
              <w:spacing w:before="0"/>
              <w:jc w:val="right"/>
              <w:rPr>
                <w:rFonts w:hAnsi="Arial" w:cs="Arial"/>
                <w:b/>
                <w:bCs/>
                <w:iCs/>
                <w:sz w:val="20"/>
                <w:szCs w:val="20"/>
                <w:lang w:val="en-GB"/>
              </w:rPr>
            </w:pPr>
            <w:r w:rsidRPr="00265A49">
              <w:rPr>
                <w:rFonts w:hAnsi="Arial" w:cs="Arial"/>
                <w:sz w:val="20"/>
                <w:szCs w:val="20"/>
                <w:lang w:val="en-GB"/>
              </w:rPr>
              <w:t>109</w:t>
            </w:r>
          </w:p>
        </w:tc>
        <w:tc>
          <w:tcPr>
            <w:tcW w:w="0" w:type="auto"/>
          </w:tcPr>
          <w:p w14:paraId="42F68AF8" w14:textId="77777777" w:rsidR="003327CE" w:rsidRPr="00265A49" w:rsidRDefault="003327CE" w:rsidP="00265A49">
            <w:pPr>
              <w:pStyle w:val="Body"/>
              <w:pBdr>
                <w:top w:val="none" w:sz="0" w:space="0" w:color="auto"/>
                <w:left w:val="none" w:sz="0" w:space="0" w:color="auto"/>
                <w:bottom w:val="none" w:sz="0" w:space="0" w:color="auto"/>
                <w:right w:val="none" w:sz="0" w:space="0" w:color="auto"/>
                <w:bar w:val="none" w:sz="0" w:color="auto"/>
              </w:pBdr>
              <w:spacing w:before="0"/>
              <w:jc w:val="right"/>
              <w:rPr>
                <w:rFonts w:hAnsi="Arial" w:cs="Arial"/>
                <w:b/>
                <w:bCs/>
                <w:iCs/>
                <w:sz w:val="20"/>
                <w:szCs w:val="20"/>
                <w:lang w:val="en-GB"/>
              </w:rPr>
            </w:pPr>
            <w:r w:rsidRPr="00265A49">
              <w:rPr>
                <w:rFonts w:hAnsi="Arial" w:cs="Arial"/>
                <w:sz w:val="20"/>
                <w:szCs w:val="20"/>
                <w:lang w:val="en-GB"/>
              </w:rPr>
              <w:t>5.7</w:t>
            </w:r>
          </w:p>
        </w:tc>
      </w:tr>
      <w:tr w:rsidR="003327CE" w:rsidRPr="00265A49" w14:paraId="70DCD700" w14:textId="77777777" w:rsidTr="00265A49">
        <w:trPr>
          <w:trHeight w:val="194"/>
        </w:trPr>
        <w:tc>
          <w:tcPr>
            <w:tcW w:w="0" w:type="auto"/>
          </w:tcPr>
          <w:p w14:paraId="75845C07" w14:textId="77777777" w:rsidR="003327CE" w:rsidRPr="00265A49" w:rsidRDefault="003327CE" w:rsidP="00E7110E">
            <w:pPr>
              <w:pStyle w:val="Body"/>
              <w:pBdr>
                <w:top w:val="none" w:sz="0" w:space="0" w:color="auto"/>
                <w:left w:val="none" w:sz="0" w:space="0" w:color="auto"/>
                <w:bottom w:val="none" w:sz="0" w:space="0" w:color="auto"/>
                <w:right w:val="none" w:sz="0" w:space="0" w:color="auto"/>
                <w:bar w:val="none" w:sz="0" w:color="auto"/>
              </w:pBdr>
              <w:spacing w:before="0"/>
              <w:rPr>
                <w:rFonts w:hAnsi="Arial" w:cs="Arial"/>
                <w:sz w:val="20"/>
                <w:szCs w:val="20"/>
                <w:lang w:val="en-GB"/>
              </w:rPr>
            </w:pPr>
            <w:r w:rsidRPr="00265A49">
              <w:rPr>
                <w:rFonts w:hAnsi="Arial" w:cs="Arial"/>
                <w:sz w:val="20"/>
                <w:szCs w:val="20"/>
                <w:lang w:val="en-GB"/>
              </w:rPr>
              <w:t>Student/ unpaid work</w:t>
            </w:r>
          </w:p>
        </w:tc>
        <w:tc>
          <w:tcPr>
            <w:tcW w:w="0" w:type="auto"/>
          </w:tcPr>
          <w:p w14:paraId="71CB7BBD" w14:textId="77777777" w:rsidR="003327CE" w:rsidRPr="00265A49" w:rsidRDefault="003327CE" w:rsidP="00265A49">
            <w:pPr>
              <w:pStyle w:val="Body"/>
              <w:pBdr>
                <w:top w:val="none" w:sz="0" w:space="0" w:color="auto"/>
                <w:left w:val="none" w:sz="0" w:space="0" w:color="auto"/>
                <w:bottom w:val="none" w:sz="0" w:space="0" w:color="auto"/>
                <w:right w:val="none" w:sz="0" w:space="0" w:color="auto"/>
                <w:bar w:val="none" w:sz="0" w:color="auto"/>
              </w:pBdr>
              <w:spacing w:before="0"/>
              <w:jc w:val="right"/>
              <w:rPr>
                <w:rFonts w:hAnsi="Arial" w:cs="Arial"/>
                <w:b/>
                <w:bCs/>
                <w:iCs/>
                <w:sz w:val="20"/>
                <w:szCs w:val="20"/>
                <w:lang w:val="en-GB"/>
              </w:rPr>
            </w:pPr>
            <w:r w:rsidRPr="00265A49">
              <w:rPr>
                <w:rFonts w:hAnsi="Arial" w:cs="Arial"/>
                <w:sz w:val="20"/>
                <w:szCs w:val="20"/>
                <w:lang w:val="en-GB"/>
              </w:rPr>
              <w:t>855</w:t>
            </w:r>
          </w:p>
        </w:tc>
        <w:tc>
          <w:tcPr>
            <w:tcW w:w="0" w:type="auto"/>
          </w:tcPr>
          <w:p w14:paraId="265703F6" w14:textId="77777777" w:rsidR="003327CE" w:rsidRPr="00265A49" w:rsidRDefault="003327CE" w:rsidP="00265A49">
            <w:pPr>
              <w:pStyle w:val="Body"/>
              <w:pBdr>
                <w:top w:val="none" w:sz="0" w:space="0" w:color="auto"/>
                <w:left w:val="none" w:sz="0" w:space="0" w:color="auto"/>
                <w:bottom w:val="none" w:sz="0" w:space="0" w:color="auto"/>
                <w:right w:val="none" w:sz="0" w:space="0" w:color="auto"/>
                <w:bar w:val="none" w:sz="0" w:color="auto"/>
              </w:pBdr>
              <w:spacing w:before="0"/>
              <w:jc w:val="right"/>
              <w:rPr>
                <w:rFonts w:hAnsi="Arial" w:cs="Arial"/>
                <w:b/>
                <w:bCs/>
                <w:iCs/>
                <w:sz w:val="20"/>
                <w:szCs w:val="20"/>
                <w:lang w:val="en-GB"/>
              </w:rPr>
            </w:pPr>
            <w:r w:rsidRPr="00265A49">
              <w:rPr>
                <w:rFonts w:hAnsi="Arial" w:cs="Arial"/>
                <w:sz w:val="20"/>
                <w:szCs w:val="20"/>
                <w:lang w:val="en-GB"/>
              </w:rPr>
              <w:t>68.2</w:t>
            </w:r>
          </w:p>
        </w:tc>
        <w:tc>
          <w:tcPr>
            <w:tcW w:w="0" w:type="auto"/>
          </w:tcPr>
          <w:p w14:paraId="733FC968" w14:textId="77777777" w:rsidR="003327CE" w:rsidRPr="00265A49" w:rsidRDefault="003327CE" w:rsidP="00265A49">
            <w:pPr>
              <w:pStyle w:val="Body"/>
              <w:pBdr>
                <w:top w:val="none" w:sz="0" w:space="0" w:color="auto"/>
                <w:left w:val="none" w:sz="0" w:space="0" w:color="auto"/>
                <w:bottom w:val="none" w:sz="0" w:space="0" w:color="auto"/>
                <w:right w:val="none" w:sz="0" w:space="0" w:color="auto"/>
                <w:bar w:val="none" w:sz="0" w:color="auto"/>
              </w:pBdr>
              <w:spacing w:before="0"/>
              <w:jc w:val="right"/>
              <w:rPr>
                <w:rFonts w:hAnsi="Arial" w:cs="Arial"/>
                <w:b/>
                <w:bCs/>
                <w:iCs/>
                <w:sz w:val="20"/>
                <w:szCs w:val="20"/>
                <w:lang w:val="en-GB"/>
              </w:rPr>
            </w:pPr>
            <w:r w:rsidRPr="00265A49">
              <w:rPr>
                <w:rFonts w:hAnsi="Arial" w:cs="Arial"/>
                <w:sz w:val="20"/>
                <w:szCs w:val="20"/>
                <w:lang w:val="en-GB"/>
              </w:rPr>
              <w:t>147</w:t>
            </w:r>
          </w:p>
        </w:tc>
        <w:tc>
          <w:tcPr>
            <w:tcW w:w="0" w:type="auto"/>
          </w:tcPr>
          <w:p w14:paraId="711EA133" w14:textId="77777777" w:rsidR="003327CE" w:rsidRPr="00265A49" w:rsidRDefault="003327CE" w:rsidP="00265A49">
            <w:pPr>
              <w:pStyle w:val="Body"/>
              <w:pBdr>
                <w:top w:val="none" w:sz="0" w:space="0" w:color="auto"/>
                <w:left w:val="none" w:sz="0" w:space="0" w:color="auto"/>
                <w:bottom w:val="none" w:sz="0" w:space="0" w:color="auto"/>
                <w:right w:val="none" w:sz="0" w:space="0" w:color="auto"/>
                <w:bar w:val="none" w:sz="0" w:color="auto"/>
              </w:pBdr>
              <w:spacing w:before="0"/>
              <w:jc w:val="right"/>
              <w:rPr>
                <w:rFonts w:hAnsi="Arial" w:cs="Arial"/>
                <w:b/>
                <w:bCs/>
                <w:iCs/>
                <w:sz w:val="20"/>
                <w:szCs w:val="20"/>
                <w:lang w:val="en-GB"/>
              </w:rPr>
            </w:pPr>
            <w:r w:rsidRPr="00265A49">
              <w:rPr>
                <w:rFonts w:hAnsi="Arial" w:cs="Arial"/>
                <w:sz w:val="20"/>
                <w:szCs w:val="20"/>
                <w:lang w:val="en-GB"/>
              </w:rPr>
              <w:t>9.4</w:t>
            </w:r>
          </w:p>
        </w:tc>
        <w:tc>
          <w:tcPr>
            <w:tcW w:w="0" w:type="auto"/>
          </w:tcPr>
          <w:p w14:paraId="3F1B1CA3" w14:textId="77777777" w:rsidR="003327CE" w:rsidRPr="00265A49" w:rsidRDefault="003327CE" w:rsidP="00265A49">
            <w:pPr>
              <w:pStyle w:val="Body"/>
              <w:pBdr>
                <w:top w:val="none" w:sz="0" w:space="0" w:color="auto"/>
                <w:left w:val="none" w:sz="0" w:space="0" w:color="auto"/>
                <w:bottom w:val="none" w:sz="0" w:space="0" w:color="auto"/>
                <w:right w:val="none" w:sz="0" w:space="0" w:color="auto"/>
                <w:bar w:val="none" w:sz="0" w:color="auto"/>
              </w:pBdr>
              <w:spacing w:before="0"/>
              <w:jc w:val="right"/>
              <w:rPr>
                <w:rFonts w:hAnsi="Arial" w:cs="Arial"/>
                <w:b/>
                <w:bCs/>
                <w:iCs/>
                <w:sz w:val="20"/>
                <w:szCs w:val="20"/>
                <w:lang w:val="en-GB"/>
              </w:rPr>
            </w:pPr>
            <w:r w:rsidRPr="00265A49">
              <w:rPr>
                <w:rFonts w:hAnsi="Arial" w:cs="Arial"/>
                <w:sz w:val="20"/>
                <w:szCs w:val="20"/>
                <w:lang w:val="en-GB"/>
              </w:rPr>
              <w:t>0</w:t>
            </w:r>
          </w:p>
        </w:tc>
        <w:tc>
          <w:tcPr>
            <w:tcW w:w="0" w:type="auto"/>
          </w:tcPr>
          <w:p w14:paraId="0E265D7A" w14:textId="77777777" w:rsidR="003327CE" w:rsidRPr="00265A49" w:rsidRDefault="003327CE" w:rsidP="00265A49">
            <w:pPr>
              <w:pStyle w:val="Body"/>
              <w:pBdr>
                <w:top w:val="none" w:sz="0" w:space="0" w:color="auto"/>
                <w:left w:val="none" w:sz="0" w:space="0" w:color="auto"/>
                <w:bottom w:val="none" w:sz="0" w:space="0" w:color="auto"/>
                <w:right w:val="none" w:sz="0" w:space="0" w:color="auto"/>
                <w:bar w:val="none" w:sz="0" w:color="auto"/>
              </w:pBdr>
              <w:spacing w:before="0"/>
              <w:jc w:val="right"/>
              <w:rPr>
                <w:rFonts w:hAnsi="Arial" w:cs="Arial"/>
                <w:b/>
                <w:bCs/>
                <w:iCs/>
                <w:sz w:val="20"/>
                <w:szCs w:val="20"/>
                <w:lang w:val="en-GB"/>
              </w:rPr>
            </w:pPr>
            <w:r w:rsidRPr="00265A49">
              <w:rPr>
                <w:rFonts w:hAnsi="Arial" w:cs="Arial"/>
                <w:sz w:val="20"/>
                <w:szCs w:val="20"/>
                <w:lang w:val="en-GB"/>
              </w:rPr>
              <w:t>0.0</w:t>
            </w:r>
          </w:p>
        </w:tc>
      </w:tr>
      <w:tr w:rsidR="003327CE" w:rsidRPr="00265A49" w14:paraId="45AA5D87" w14:textId="77777777" w:rsidTr="00265A49">
        <w:trPr>
          <w:trHeight w:val="194"/>
        </w:trPr>
        <w:tc>
          <w:tcPr>
            <w:tcW w:w="0" w:type="auto"/>
          </w:tcPr>
          <w:p w14:paraId="6331185A" w14:textId="77777777" w:rsidR="003327CE" w:rsidRPr="00265A49" w:rsidRDefault="003327CE" w:rsidP="00E7110E">
            <w:pPr>
              <w:pStyle w:val="Body"/>
              <w:pBdr>
                <w:top w:val="none" w:sz="0" w:space="0" w:color="auto"/>
                <w:left w:val="none" w:sz="0" w:space="0" w:color="auto"/>
                <w:bottom w:val="none" w:sz="0" w:space="0" w:color="auto"/>
                <w:right w:val="none" w:sz="0" w:space="0" w:color="auto"/>
                <w:bar w:val="none" w:sz="0" w:color="auto"/>
              </w:pBdr>
              <w:spacing w:before="0"/>
              <w:rPr>
                <w:rFonts w:hAnsi="Arial" w:cs="Arial"/>
                <w:sz w:val="20"/>
                <w:szCs w:val="20"/>
                <w:lang w:val="en-GB"/>
              </w:rPr>
            </w:pPr>
            <w:r w:rsidRPr="00265A49">
              <w:rPr>
                <w:rFonts w:hAnsi="Arial" w:cs="Arial"/>
                <w:sz w:val="20"/>
                <w:szCs w:val="20"/>
                <w:lang w:val="en-GB"/>
              </w:rPr>
              <w:t>Retired</w:t>
            </w:r>
          </w:p>
        </w:tc>
        <w:tc>
          <w:tcPr>
            <w:tcW w:w="0" w:type="auto"/>
          </w:tcPr>
          <w:p w14:paraId="6D80308D" w14:textId="77777777" w:rsidR="003327CE" w:rsidRPr="00265A49" w:rsidRDefault="003327CE" w:rsidP="00265A49">
            <w:pPr>
              <w:pStyle w:val="Body"/>
              <w:pBdr>
                <w:top w:val="none" w:sz="0" w:space="0" w:color="auto"/>
                <w:left w:val="none" w:sz="0" w:space="0" w:color="auto"/>
                <w:bottom w:val="none" w:sz="0" w:space="0" w:color="auto"/>
                <w:right w:val="none" w:sz="0" w:space="0" w:color="auto"/>
                <w:bar w:val="none" w:sz="0" w:color="auto"/>
              </w:pBdr>
              <w:spacing w:before="0"/>
              <w:jc w:val="right"/>
              <w:rPr>
                <w:rFonts w:hAnsi="Arial" w:cs="Arial"/>
                <w:b/>
                <w:bCs/>
                <w:iCs/>
                <w:sz w:val="20"/>
                <w:szCs w:val="20"/>
                <w:lang w:val="en-GB"/>
              </w:rPr>
            </w:pPr>
            <w:r w:rsidRPr="00265A49">
              <w:rPr>
                <w:rFonts w:hAnsi="Arial" w:cs="Arial"/>
                <w:sz w:val="20"/>
                <w:szCs w:val="20"/>
                <w:lang w:val="en-GB"/>
              </w:rPr>
              <w:t>0</w:t>
            </w:r>
          </w:p>
        </w:tc>
        <w:tc>
          <w:tcPr>
            <w:tcW w:w="0" w:type="auto"/>
          </w:tcPr>
          <w:p w14:paraId="69D374BA" w14:textId="77777777" w:rsidR="003327CE" w:rsidRPr="00265A49" w:rsidRDefault="003327CE" w:rsidP="00265A49">
            <w:pPr>
              <w:pStyle w:val="Body"/>
              <w:pBdr>
                <w:top w:val="none" w:sz="0" w:space="0" w:color="auto"/>
                <w:left w:val="none" w:sz="0" w:space="0" w:color="auto"/>
                <w:bottom w:val="none" w:sz="0" w:space="0" w:color="auto"/>
                <w:right w:val="none" w:sz="0" w:space="0" w:color="auto"/>
                <w:bar w:val="none" w:sz="0" w:color="auto"/>
              </w:pBdr>
              <w:spacing w:before="0"/>
              <w:jc w:val="right"/>
              <w:rPr>
                <w:rFonts w:hAnsi="Arial" w:cs="Arial"/>
                <w:b/>
                <w:bCs/>
                <w:iCs/>
                <w:sz w:val="20"/>
                <w:szCs w:val="20"/>
                <w:lang w:val="en-GB"/>
              </w:rPr>
            </w:pPr>
            <w:r w:rsidRPr="00265A49">
              <w:rPr>
                <w:rFonts w:hAnsi="Arial" w:cs="Arial"/>
                <w:sz w:val="20"/>
                <w:szCs w:val="20"/>
                <w:lang w:val="en-GB"/>
              </w:rPr>
              <w:t>0.0</w:t>
            </w:r>
          </w:p>
        </w:tc>
        <w:tc>
          <w:tcPr>
            <w:tcW w:w="0" w:type="auto"/>
          </w:tcPr>
          <w:p w14:paraId="7031E5CC" w14:textId="77777777" w:rsidR="003327CE" w:rsidRPr="00265A49" w:rsidRDefault="003327CE" w:rsidP="00265A49">
            <w:pPr>
              <w:pStyle w:val="Body"/>
              <w:pBdr>
                <w:top w:val="none" w:sz="0" w:space="0" w:color="auto"/>
                <w:left w:val="none" w:sz="0" w:space="0" w:color="auto"/>
                <w:bottom w:val="none" w:sz="0" w:space="0" w:color="auto"/>
                <w:right w:val="none" w:sz="0" w:space="0" w:color="auto"/>
                <w:bar w:val="none" w:sz="0" w:color="auto"/>
              </w:pBdr>
              <w:spacing w:before="0"/>
              <w:jc w:val="right"/>
              <w:rPr>
                <w:rFonts w:hAnsi="Arial" w:cs="Arial"/>
                <w:b/>
                <w:bCs/>
                <w:iCs/>
                <w:sz w:val="20"/>
                <w:szCs w:val="20"/>
                <w:lang w:val="en-GB"/>
              </w:rPr>
            </w:pPr>
            <w:r w:rsidRPr="00265A49">
              <w:rPr>
                <w:rFonts w:hAnsi="Arial" w:cs="Arial"/>
                <w:sz w:val="20"/>
                <w:szCs w:val="20"/>
                <w:lang w:val="en-GB"/>
              </w:rPr>
              <w:t>0</w:t>
            </w:r>
          </w:p>
        </w:tc>
        <w:tc>
          <w:tcPr>
            <w:tcW w:w="0" w:type="auto"/>
          </w:tcPr>
          <w:p w14:paraId="4549C855" w14:textId="77777777" w:rsidR="003327CE" w:rsidRPr="00265A49" w:rsidRDefault="003327CE" w:rsidP="00265A49">
            <w:pPr>
              <w:pStyle w:val="Body"/>
              <w:pBdr>
                <w:top w:val="none" w:sz="0" w:space="0" w:color="auto"/>
                <w:left w:val="none" w:sz="0" w:space="0" w:color="auto"/>
                <w:bottom w:val="none" w:sz="0" w:space="0" w:color="auto"/>
                <w:right w:val="none" w:sz="0" w:space="0" w:color="auto"/>
                <w:bar w:val="none" w:sz="0" w:color="auto"/>
              </w:pBdr>
              <w:spacing w:before="0"/>
              <w:jc w:val="right"/>
              <w:rPr>
                <w:rFonts w:hAnsi="Arial" w:cs="Arial"/>
                <w:b/>
                <w:bCs/>
                <w:iCs/>
                <w:sz w:val="20"/>
                <w:szCs w:val="20"/>
                <w:lang w:val="en-GB"/>
              </w:rPr>
            </w:pPr>
            <w:r w:rsidRPr="00265A49">
              <w:rPr>
                <w:rFonts w:hAnsi="Arial" w:cs="Arial"/>
                <w:sz w:val="20"/>
                <w:szCs w:val="20"/>
                <w:lang w:val="en-GB"/>
              </w:rPr>
              <w:t>0.0</w:t>
            </w:r>
          </w:p>
        </w:tc>
        <w:tc>
          <w:tcPr>
            <w:tcW w:w="0" w:type="auto"/>
          </w:tcPr>
          <w:p w14:paraId="3A973D38" w14:textId="77777777" w:rsidR="003327CE" w:rsidRPr="00265A49" w:rsidRDefault="003327CE" w:rsidP="00265A49">
            <w:pPr>
              <w:pStyle w:val="Body"/>
              <w:pBdr>
                <w:top w:val="none" w:sz="0" w:space="0" w:color="auto"/>
                <w:left w:val="none" w:sz="0" w:space="0" w:color="auto"/>
                <w:bottom w:val="none" w:sz="0" w:space="0" w:color="auto"/>
                <w:right w:val="none" w:sz="0" w:space="0" w:color="auto"/>
                <w:bar w:val="none" w:sz="0" w:color="auto"/>
              </w:pBdr>
              <w:spacing w:before="0"/>
              <w:jc w:val="right"/>
              <w:rPr>
                <w:rFonts w:hAnsi="Arial" w:cs="Arial"/>
                <w:b/>
                <w:bCs/>
                <w:iCs/>
                <w:sz w:val="20"/>
                <w:szCs w:val="20"/>
                <w:lang w:val="en-GB"/>
              </w:rPr>
            </w:pPr>
            <w:r w:rsidRPr="00265A49">
              <w:rPr>
                <w:rFonts w:hAnsi="Arial" w:cs="Arial"/>
                <w:sz w:val="20"/>
                <w:szCs w:val="20"/>
                <w:lang w:val="en-GB"/>
              </w:rPr>
              <w:t>0</w:t>
            </w:r>
          </w:p>
        </w:tc>
        <w:tc>
          <w:tcPr>
            <w:tcW w:w="0" w:type="auto"/>
          </w:tcPr>
          <w:p w14:paraId="57146D1A" w14:textId="77777777" w:rsidR="003327CE" w:rsidRPr="00265A49" w:rsidRDefault="003327CE" w:rsidP="00265A49">
            <w:pPr>
              <w:pStyle w:val="Body"/>
              <w:pBdr>
                <w:top w:val="none" w:sz="0" w:space="0" w:color="auto"/>
                <w:left w:val="none" w:sz="0" w:space="0" w:color="auto"/>
                <w:bottom w:val="none" w:sz="0" w:space="0" w:color="auto"/>
                <w:right w:val="none" w:sz="0" w:space="0" w:color="auto"/>
                <w:bar w:val="none" w:sz="0" w:color="auto"/>
              </w:pBdr>
              <w:spacing w:before="0"/>
              <w:jc w:val="right"/>
              <w:rPr>
                <w:rFonts w:hAnsi="Arial" w:cs="Arial"/>
                <w:b/>
                <w:bCs/>
                <w:iCs/>
                <w:sz w:val="20"/>
                <w:szCs w:val="20"/>
                <w:lang w:val="en-GB"/>
              </w:rPr>
            </w:pPr>
            <w:r w:rsidRPr="00265A49">
              <w:rPr>
                <w:rFonts w:hAnsi="Arial" w:cs="Arial"/>
                <w:sz w:val="20"/>
                <w:szCs w:val="20"/>
                <w:lang w:val="en-GB"/>
              </w:rPr>
              <w:t>0.0</w:t>
            </w:r>
          </w:p>
        </w:tc>
      </w:tr>
      <w:tr w:rsidR="003327CE" w:rsidRPr="00265A49" w14:paraId="2A71B82F" w14:textId="77777777" w:rsidTr="00265A49">
        <w:trPr>
          <w:trHeight w:val="194"/>
        </w:trPr>
        <w:tc>
          <w:tcPr>
            <w:tcW w:w="0" w:type="auto"/>
          </w:tcPr>
          <w:p w14:paraId="33D2F124" w14:textId="77777777" w:rsidR="003327CE" w:rsidRPr="00265A49" w:rsidRDefault="003327CE" w:rsidP="00E7110E">
            <w:pPr>
              <w:rPr>
                <w:sz w:val="20"/>
                <w:szCs w:val="20"/>
              </w:rPr>
            </w:pPr>
            <w:r w:rsidRPr="00265A49">
              <w:rPr>
                <w:sz w:val="20"/>
                <w:szCs w:val="20"/>
              </w:rPr>
              <w:t>Cannot work due to illness/disability</w:t>
            </w:r>
          </w:p>
        </w:tc>
        <w:tc>
          <w:tcPr>
            <w:tcW w:w="0" w:type="auto"/>
          </w:tcPr>
          <w:p w14:paraId="3E79B789" w14:textId="77777777" w:rsidR="003327CE" w:rsidRPr="00265A49" w:rsidRDefault="003327CE" w:rsidP="00265A49">
            <w:pPr>
              <w:pStyle w:val="Body"/>
              <w:pBdr>
                <w:top w:val="none" w:sz="0" w:space="0" w:color="auto"/>
                <w:left w:val="none" w:sz="0" w:space="0" w:color="auto"/>
                <w:bottom w:val="none" w:sz="0" w:space="0" w:color="auto"/>
                <w:right w:val="none" w:sz="0" w:space="0" w:color="auto"/>
                <w:bar w:val="none" w:sz="0" w:color="auto"/>
              </w:pBdr>
              <w:spacing w:before="0"/>
              <w:jc w:val="right"/>
              <w:rPr>
                <w:rFonts w:hAnsi="Arial" w:cs="Arial"/>
                <w:b/>
                <w:bCs/>
                <w:iCs/>
                <w:sz w:val="20"/>
                <w:szCs w:val="20"/>
                <w:lang w:val="en-GB"/>
              </w:rPr>
            </w:pPr>
            <w:r w:rsidRPr="00265A49">
              <w:rPr>
                <w:rFonts w:hAnsi="Arial" w:cs="Arial"/>
                <w:sz w:val="20"/>
                <w:szCs w:val="20"/>
                <w:lang w:val="en-GB"/>
              </w:rPr>
              <w:t>82</w:t>
            </w:r>
          </w:p>
        </w:tc>
        <w:tc>
          <w:tcPr>
            <w:tcW w:w="0" w:type="auto"/>
          </w:tcPr>
          <w:p w14:paraId="5E82EB38" w14:textId="77777777" w:rsidR="003327CE" w:rsidRPr="00265A49" w:rsidRDefault="003327CE" w:rsidP="00265A49">
            <w:pPr>
              <w:pStyle w:val="Body"/>
              <w:pBdr>
                <w:top w:val="none" w:sz="0" w:space="0" w:color="auto"/>
                <w:left w:val="none" w:sz="0" w:space="0" w:color="auto"/>
                <w:bottom w:val="none" w:sz="0" w:space="0" w:color="auto"/>
                <w:right w:val="none" w:sz="0" w:space="0" w:color="auto"/>
                <w:bar w:val="none" w:sz="0" w:color="auto"/>
              </w:pBdr>
              <w:spacing w:before="0"/>
              <w:jc w:val="right"/>
              <w:rPr>
                <w:rFonts w:hAnsi="Arial" w:cs="Arial"/>
                <w:b/>
                <w:bCs/>
                <w:iCs/>
                <w:sz w:val="20"/>
                <w:szCs w:val="20"/>
                <w:lang w:val="en-GB"/>
              </w:rPr>
            </w:pPr>
            <w:r w:rsidRPr="00265A49">
              <w:rPr>
                <w:rFonts w:hAnsi="Arial" w:cs="Arial"/>
                <w:sz w:val="20"/>
                <w:szCs w:val="20"/>
                <w:lang w:val="en-GB"/>
              </w:rPr>
              <w:t>6.5</w:t>
            </w:r>
          </w:p>
        </w:tc>
        <w:tc>
          <w:tcPr>
            <w:tcW w:w="0" w:type="auto"/>
          </w:tcPr>
          <w:p w14:paraId="5F86A520" w14:textId="77777777" w:rsidR="003327CE" w:rsidRPr="00265A49" w:rsidRDefault="003327CE" w:rsidP="00265A49">
            <w:pPr>
              <w:pStyle w:val="Body"/>
              <w:pBdr>
                <w:top w:val="none" w:sz="0" w:space="0" w:color="auto"/>
                <w:left w:val="none" w:sz="0" w:space="0" w:color="auto"/>
                <w:bottom w:val="none" w:sz="0" w:space="0" w:color="auto"/>
                <w:right w:val="none" w:sz="0" w:space="0" w:color="auto"/>
                <w:bar w:val="none" w:sz="0" w:color="auto"/>
              </w:pBdr>
              <w:spacing w:before="0"/>
              <w:jc w:val="right"/>
              <w:rPr>
                <w:rFonts w:hAnsi="Arial" w:cs="Arial"/>
                <w:b/>
                <w:bCs/>
                <w:iCs/>
                <w:sz w:val="20"/>
                <w:szCs w:val="20"/>
                <w:lang w:val="en-GB"/>
              </w:rPr>
            </w:pPr>
            <w:r w:rsidRPr="00265A49">
              <w:rPr>
                <w:rFonts w:hAnsi="Arial" w:cs="Arial"/>
                <w:sz w:val="20"/>
                <w:szCs w:val="20"/>
                <w:lang w:val="en-GB"/>
              </w:rPr>
              <w:t>419</w:t>
            </w:r>
          </w:p>
        </w:tc>
        <w:tc>
          <w:tcPr>
            <w:tcW w:w="0" w:type="auto"/>
          </w:tcPr>
          <w:p w14:paraId="4B79980A" w14:textId="77777777" w:rsidR="003327CE" w:rsidRPr="00265A49" w:rsidRDefault="003327CE" w:rsidP="00265A49">
            <w:pPr>
              <w:pStyle w:val="Body"/>
              <w:pBdr>
                <w:top w:val="none" w:sz="0" w:space="0" w:color="auto"/>
                <w:left w:val="none" w:sz="0" w:space="0" w:color="auto"/>
                <w:bottom w:val="none" w:sz="0" w:space="0" w:color="auto"/>
                <w:right w:val="none" w:sz="0" w:space="0" w:color="auto"/>
                <w:bar w:val="none" w:sz="0" w:color="auto"/>
              </w:pBdr>
              <w:spacing w:before="0"/>
              <w:jc w:val="right"/>
              <w:rPr>
                <w:rFonts w:hAnsi="Arial" w:cs="Arial"/>
                <w:b/>
                <w:bCs/>
                <w:iCs/>
                <w:sz w:val="20"/>
                <w:szCs w:val="20"/>
                <w:lang w:val="en-GB"/>
              </w:rPr>
            </w:pPr>
            <w:r w:rsidRPr="00265A49">
              <w:rPr>
                <w:rFonts w:hAnsi="Arial" w:cs="Arial"/>
                <w:sz w:val="20"/>
                <w:szCs w:val="20"/>
                <w:lang w:val="en-GB"/>
              </w:rPr>
              <w:t>26.9</w:t>
            </w:r>
          </w:p>
        </w:tc>
        <w:tc>
          <w:tcPr>
            <w:tcW w:w="0" w:type="auto"/>
          </w:tcPr>
          <w:p w14:paraId="12CA8231" w14:textId="77777777" w:rsidR="003327CE" w:rsidRPr="00265A49" w:rsidRDefault="003327CE" w:rsidP="00265A49">
            <w:pPr>
              <w:pStyle w:val="Body"/>
              <w:pBdr>
                <w:top w:val="none" w:sz="0" w:space="0" w:color="auto"/>
                <w:left w:val="none" w:sz="0" w:space="0" w:color="auto"/>
                <w:bottom w:val="none" w:sz="0" w:space="0" w:color="auto"/>
                <w:right w:val="none" w:sz="0" w:space="0" w:color="auto"/>
                <w:bar w:val="none" w:sz="0" w:color="auto"/>
              </w:pBdr>
              <w:spacing w:before="0"/>
              <w:jc w:val="right"/>
              <w:rPr>
                <w:rFonts w:hAnsi="Arial" w:cs="Arial"/>
                <w:b/>
                <w:bCs/>
                <w:iCs/>
                <w:sz w:val="20"/>
                <w:szCs w:val="20"/>
                <w:lang w:val="en-GB"/>
              </w:rPr>
            </w:pPr>
            <w:r w:rsidRPr="00265A49">
              <w:rPr>
                <w:rFonts w:hAnsi="Arial" w:cs="Arial"/>
                <w:sz w:val="20"/>
                <w:szCs w:val="20"/>
                <w:lang w:val="en-GB"/>
              </w:rPr>
              <w:t>655</w:t>
            </w:r>
          </w:p>
        </w:tc>
        <w:tc>
          <w:tcPr>
            <w:tcW w:w="0" w:type="auto"/>
          </w:tcPr>
          <w:p w14:paraId="7DF13B02" w14:textId="77777777" w:rsidR="003327CE" w:rsidRPr="00265A49" w:rsidRDefault="003327CE" w:rsidP="00265A49">
            <w:pPr>
              <w:pStyle w:val="Body"/>
              <w:pBdr>
                <w:top w:val="none" w:sz="0" w:space="0" w:color="auto"/>
                <w:left w:val="none" w:sz="0" w:space="0" w:color="auto"/>
                <w:bottom w:val="none" w:sz="0" w:space="0" w:color="auto"/>
                <w:right w:val="none" w:sz="0" w:space="0" w:color="auto"/>
                <w:bar w:val="none" w:sz="0" w:color="auto"/>
              </w:pBdr>
              <w:spacing w:before="0"/>
              <w:jc w:val="right"/>
              <w:rPr>
                <w:rFonts w:hAnsi="Arial" w:cs="Arial"/>
                <w:b/>
                <w:bCs/>
                <w:iCs/>
                <w:sz w:val="20"/>
                <w:szCs w:val="20"/>
                <w:lang w:val="en-GB"/>
              </w:rPr>
            </w:pPr>
            <w:r w:rsidRPr="00265A49">
              <w:rPr>
                <w:rFonts w:hAnsi="Arial" w:cs="Arial"/>
                <w:sz w:val="20"/>
                <w:szCs w:val="20"/>
                <w:lang w:val="en-GB"/>
              </w:rPr>
              <w:t>34.3</w:t>
            </w:r>
          </w:p>
        </w:tc>
      </w:tr>
      <w:tr w:rsidR="003327CE" w:rsidRPr="00265A49" w14:paraId="4D6C6781" w14:textId="77777777" w:rsidTr="00265A49">
        <w:trPr>
          <w:trHeight w:val="194"/>
        </w:trPr>
        <w:tc>
          <w:tcPr>
            <w:tcW w:w="0" w:type="auto"/>
          </w:tcPr>
          <w:p w14:paraId="67B3B1AC" w14:textId="77777777" w:rsidR="003327CE" w:rsidRPr="00265A49" w:rsidRDefault="003327CE" w:rsidP="00E7110E">
            <w:pPr>
              <w:rPr>
                <w:sz w:val="20"/>
                <w:szCs w:val="20"/>
              </w:rPr>
            </w:pPr>
            <w:r w:rsidRPr="00265A49">
              <w:rPr>
                <w:sz w:val="20"/>
                <w:szCs w:val="20"/>
              </w:rPr>
              <w:t>Taking care of house and/or family</w:t>
            </w:r>
          </w:p>
        </w:tc>
        <w:tc>
          <w:tcPr>
            <w:tcW w:w="0" w:type="auto"/>
          </w:tcPr>
          <w:p w14:paraId="73B40213" w14:textId="77777777" w:rsidR="003327CE" w:rsidRPr="00265A49" w:rsidRDefault="003327CE" w:rsidP="00265A49">
            <w:pPr>
              <w:pStyle w:val="Body"/>
              <w:pBdr>
                <w:top w:val="none" w:sz="0" w:space="0" w:color="auto"/>
                <w:left w:val="none" w:sz="0" w:space="0" w:color="auto"/>
                <w:bottom w:val="none" w:sz="0" w:space="0" w:color="auto"/>
                <w:right w:val="none" w:sz="0" w:space="0" w:color="auto"/>
                <w:bar w:val="none" w:sz="0" w:color="auto"/>
              </w:pBdr>
              <w:spacing w:before="0"/>
              <w:jc w:val="right"/>
              <w:rPr>
                <w:rFonts w:hAnsi="Arial" w:cs="Arial"/>
                <w:b/>
                <w:bCs/>
                <w:iCs/>
                <w:sz w:val="20"/>
                <w:szCs w:val="20"/>
                <w:lang w:val="en-GB"/>
              </w:rPr>
            </w:pPr>
            <w:r w:rsidRPr="00265A49">
              <w:rPr>
                <w:rFonts w:hAnsi="Arial" w:cs="Arial"/>
                <w:sz w:val="20"/>
                <w:szCs w:val="20"/>
                <w:lang w:val="en-GB"/>
              </w:rPr>
              <w:t>16</w:t>
            </w:r>
          </w:p>
        </w:tc>
        <w:tc>
          <w:tcPr>
            <w:tcW w:w="0" w:type="auto"/>
          </w:tcPr>
          <w:p w14:paraId="5BC09700" w14:textId="77777777" w:rsidR="003327CE" w:rsidRPr="00265A49" w:rsidRDefault="003327CE" w:rsidP="00265A49">
            <w:pPr>
              <w:pStyle w:val="Body"/>
              <w:pBdr>
                <w:top w:val="none" w:sz="0" w:space="0" w:color="auto"/>
                <w:left w:val="none" w:sz="0" w:space="0" w:color="auto"/>
                <w:bottom w:val="none" w:sz="0" w:space="0" w:color="auto"/>
                <w:right w:val="none" w:sz="0" w:space="0" w:color="auto"/>
                <w:bar w:val="none" w:sz="0" w:color="auto"/>
              </w:pBdr>
              <w:spacing w:before="0"/>
              <w:jc w:val="right"/>
              <w:rPr>
                <w:rFonts w:hAnsi="Arial" w:cs="Arial"/>
                <w:b/>
                <w:bCs/>
                <w:iCs/>
                <w:sz w:val="20"/>
                <w:szCs w:val="20"/>
                <w:lang w:val="en-GB"/>
              </w:rPr>
            </w:pPr>
            <w:r w:rsidRPr="00265A49">
              <w:rPr>
                <w:rFonts w:hAnsi="Arial" w:cs="Arial"/>
                <w:sz w:val="20"/>
                <w:szCs w:val="20"/>
                <w:lang w:val="en-GB"/>
              </w:rPr>
              <w:t>1.3</w:t>
            </w:r>
          </w:p>
        </w:tc>
        <w:tc>
          <w:tcPr>
            <w:tcW w:w="0" w:type="auto"/>
          </w:tcPr>
          <w:p w14:paraId="066DBDD6" w14:textId="77777777" w:rsidR="003327CE" w:rsidRPr="00265A49" w:rsidRDefault="003327CE" w:rsidP="00265A49">
            <w:pPr>
              <w:pStyle w:val="Body"/>
              <w:pBdr>
                <w:top w:val="none" w:sz="0" w:space="0" w:color="auto"/>
                <w:left w:val="none" w:sz="0" w:space="0" w:color="auto"/>
                <w:bottom w:val="none" w:sz="0" w:space="0" w:color="auto"/>
                <w:right w:val="none" w:sz="0" w:space="0" w:color="auto"/>
                <w:bar w:val="none" w:sz="0" w:color="auto"/>
              </w:pBdr>
              <w:spacing w:before="0"/>
              <w:jc w:val="right"/>
              <w:rPr>
                <w:rFonts w:hAnsi="Arial" w:cs="Arial"/>
                <w:b/>
                <w:bCs/>
                <w:iCs/>
                <w:sz w:val="20"/>
                <w:szCs w:val="20"/>
                <w:lang w:val="en-GB"/>
              </w:rPr>
            </w:pPr>
            <w:r w:rsidRPr="00265A49">
              <w:rPr>
                <w:rFonts w:hAnsi="Arial" w:cs="Arial"/>
                <w:sz w:val="20"/>
                <w:szCs w:val="20"/>
                <w:lang w:val="en-GB"/>
              </w:rPr>
              <w:t>72</w:t>
            </w:r>
          </w:p>
        </w:tc>
        <w:tc>
          <w:tcPr>
            <w:tcW w:w="0" w:type="auto"/>
          </w:tcPr>
          <w:p w14:paraId="3B185E42" w14:textId="77777777" w:rsidR="003327CE" w:rsidRPr="00265A49" w:rsidRDefault="003327CE" w:rsidP="00265A49">
            <w:pPr>
              <w:pStyle w:val="Body"/>
              <w:pBdr>
                <w:top w:val="none" w:sz="0" w:space="0" w:color="auto"/>
                <w:left w:val="none" w:sz="0" w:space="0" w:color="auto"/>
                <w:bottom w:val="none" w:sz="0" w:space="0" w:color="auto"/>
                <w:right w:val="none" w:sz="0" w:space="0" w:color="auto"/>
                <w:bar w:val="none" w:sz="0" w:color="auto"/>
              </w:pBdr>
              <w:spacing w:before="0"/>
              <w:jc w:val="right"/>
              <w:rPr>
                <w:rFonts w:hAnsi="Arial" w:cs="Arial"/>
                <w:b/>
                <w:bCs/>
                <w:iCs/>
                <w:sz w:val="20"/>
                <w:szCs w:val="20"/>
                <w:lang w:val="en-GB"/>
              </w:rPr>
            </w:pPr>
            <w:r w:rsidRPr="00265A49">
              <w:rPr>
                <w:rFonts w:hAnsi="Arial" w:cs="Arial"/>
                <w:sz w:val="20"/>
                <w:szCs w:val="20"/>
                <w:lang w:val="en-GB"/>
              </w:rPr>
              <w:t>4.6</w:t>
            </w:r>
          </w:p>
        </w:tc>
        <w:tc>
          <w:tcPr>
            <w:tcW w:w="0" w:type="auto"/>
          </w:tcPr>
          <w:p w14:paraId="30E4E790" w14:textId="77777777" w:rsidR="003327CE" w:rsidRPr="00265A49" w:rsidRDefault="003327CE" w:rsidP="00265A49">
            <w:pPr>
              <w:pStyle w:val="Body"/>
              <w:pBdr>
                <w:top w:val="none" w:sz="0" w:space="0" w:color="auto"/>
                <w:left w:val="none" w:sz="0" w:space="0" w:color="auto"/>
                <w:bottom w:val="none" w:sz="0" w:space="0" w:color="auto"/>
                <w:right w:val="none" w:sz="0" w:space="0" w:color="auto"/>
                <w:bar w:val="none" w:sz="0" w:color="auto"/>
              </w:pBdr>
              <w:spacing w:before="0"/>
              <w:jc w:val="right"/>
              <w:rPr>
                <w:rFonts w:hAnsi="Arial" w:cs="Arial"/>
                <w:b/>
                <w:bCs/>
                <w:iCs/>
                <w:sz w:val="20"/>
                <w:szCs w:val="20"/>
                <w:lang w:val="en-GB"/>
              </w:rPr>
            </w:pPr>
            <w:r w:rsidRPr="00265A49">
              <w:rPr>
                <w:rFonts w:hAnsi="Arial" w:cs="Arial"/>
                <w:sz w:val="20"/>
                <w:szCs w:val="20"/>
                <w:lang w:val="en-GB"/>
              </w:rPr>
              <w:t>243</w:t>
            </w:r>
          </w:p>
        </w:tc>
        <w:tc>
          <w:tcPr>
            <w:tcW w:w="0" w:type="auto"/>
          </w:tcPr>
          <w:p w14:paraId="58945421" w14:textId="77777777" w:rsidR="003327CE" w:rsidRPr="00265A49" w:rsidRDefault="003327CE" w:rsidP="00265A49">
            <w:pPr>
              <w:pStyle w:val="Body"/>
              <w:pBdr>
                <w:top w:val="none" w:sz="0" w:space="0" w:color="auto"/>
                <w:left w:val="none" w:sz="0" w:space="0" w:color="auto"/>
                <w:bottom w:val="none" w:sz="0" w:space="0" w:color="auto"/>
                <w:right w:val="none" w:sz="0" w:space="0" w:color="auto"/>
                <w:bar w:val="none" w:sz="0" w:color="auto"/>
              </w:pBdr>
              <w:spacing w:before="0"/>
              <w:jc w:val="right"/>
              <w:rPr>
                <w:rFonts w:hAnsi="Arial" w:cs="Arial"/>
                <w:b/>
                <w:bCs/>
                <w:iCs/>
                <w:sz w:val="20"/>
                <w:szCs w:val="20"/>
                <w:lang w:val="en-GB"/>
              </w:rPr>
            </w:pPr>
            <w:r w:rsidRPr="00265A49">
              <w:rPr>
                <w:rFonts w:hAnsi="Arial" w:cs="Arial"/>
                <w:sz w:val="20"/>
                <w:szCs w:val="20"/>
                <w:lang w:val="en-GB"/>
              </w:rPr>
              <w:t>12.7</w:t>
            </w:r>
          </w:p>
        </w:tc>
      </w:tr>
      <w:tr w:rsidR="003327CE" w:rsidRPr="00265A49" w14:paraId="01E380DF" w14:textId="77777777" w:rsidTr="00265A49">
        <w:trPr>
          <w:trHeight w:val="194"/>
        </w:trPr>
        <w:tc>
          <w:tcPr>
            <w:tcW w:w="0" w:type="auto"/>
          </w:tcPr>
          <w:p w14:paraId="52CBA0D2" w14:textId="77777777" w:rsidR="003327CE" w:rsidRPr="00265A49" w:rsidRDefault="003327CE" w:rsidP="00E7110E">
            <w:pPr>
              <w:pStyle w:val="Body"/>
              <w:pBdr>
                <w:top w:val="none" w:sz="0" w:space="0" w:color="auto"/>
                <w:left w:val="none" w:sz="0" w:space="0" w:color="auto"/>
                <w:bottom w:val="none" w:sz="0" w:space="0" w:color="auto"/>
                <w:right w:val="none" w:sz="0" w:space="0" w:color="auto"/>
                <w:bar w:val="none" w:sz="0" w:color="auto"/>
              </w:pBdr>
              <w:spacing w:before="0"/>
              <w:rPr>
                <w:rFonts w:hAnsi="Arial" w:cs="Arial"/>
                <w:sz w:val="20"/>
                <w:szCs w:val="20"/>
                <w:lang w:val="en-GB"/>
              </w:rPr>
            </w:pPr>
            <w:r w:rsidRPr="00265A49">
              <w:rPr>
                <w:rFonts w:hAnsi="Arial" w:cs="Arial"/>
                <w:sz w:val="20"/>
                <w:szCs w:val="20"/>
                <w:lang w:val="en-GB"/>
              </w:rPr>
              <w:t>Other inactive persons</w:t>
            </w:r>
          </w:p>
        </w:tc>
        <w:tc>
          <w:tcPr>
            <w:tcW w:w="0" w:type="auto"/>
          </w:tcPr>
          <w:p w14:paraId="68E573C6" w14:textId="77777777" w:rsidR="003327CE" w:rsidRPr="00265A49" w:rsidRDefault="003327CE" w:rsidP="00265A49">
            <w:pPr>
              <w:pStyle w:val="Body"/>
              <w:pBdr>
                <w:top w:val="none" w:sz="0" w:space="0" w:color="auto"/>
                <w:left w:val="none" w:sz="0" w:space="0" w:color="auto"/>
                <w:bottom w:val="none" w:sz="0" w:space="0" w:color="auto"/>
                <w:right w:val="none" w:sz="0" w:space="0" w:color="auto"/>
                <w:bar w:val="none" w:sz="0" w:color="auto"/>
              </w:pBdr>
              <w:spacing w:before="0"/>
              <w:jc w:val="right"/>
              <w:rPr>
                <w:rFonts w:hAnsi="Arial" w:cs="Arial"/>
                <w:b/>
                <w:bCs/>
                <w:iCs/>
                <w:sz w:val="20"/>
                <w:szCs w:val="20"/>
                <w:lang w:val="en-GB"/>
              </w:rPr>
            </w:pPr>
            <w:r w:rsidRPr="00265A49">
              <w:rPr>
                <w:rFonts w:hAnsi="Arial" w:cs="Arial"/>
                <w:sz w:val="20"/>
                <w:szCs w:val="20"/>
                <w:lang w:val="en-GB"/>
              </w:rPr>
              <w:t>31</w:t>
            </w:r>
          </w:p>
        </w:tc>
        <w:tc>
          <w:tcPr>
            <w:tcW w:w="0" w:type="auto"/>
          </w:tcPr>
          <w:p w14:paraId="45976AD1" w14:textId="77777777" w:rsidR="003327CE" w:rsidRPr="00265A49" w:rsidRDefault="003327CE" w:rsidP="00265A49">
            <w:pPr>
              <w:pStyle w:val="Body"/>
              <w:pBdr>
                <w:top w:val="none" w:sz="0" w:space="0" w:color="auto"/>
                <w:left w:val="none" w:sz="0" w:space="0" w:color="auto"/>
                <w:bottom w:val="none" w:sz="0" w:space="0" w:color="auto"/>
                <w:right w:val="none" w:sz="0" w:space="0" w:color="auto"/>
                <w:bar w:val="none" w:sz="0" w:color="auto"/>
              </w:pBdr>
              <w:spacing w:before="0"/>
              <w:jc w:val="right"/>
              <w:rPr>
                <w:rFonts w:hAnsi="Arial" w:cs="Arial"/>
                <w:b/>
                <w:bCs/>
                <w:iCs/>
                <w:sz w:val="20"/>
                <w:szCs w:val="20"/>
                <w:lang w:val="en-GB"/>
              </w:rPr>
            </w:pPr>
            <w:r w:rsidRPr="00265A49">
              <w:rPr>
                <w:rFonts w:hAnsi="Arial" w:cs="Arial"/>
                <w:sz w:val="20"/>
                <w:szCs w:val="20"/>
                <w:lang w:val="en-GB"/>
              </w:rPr>
              <w:t>2.5</w:t>
            </w:r>
          </w:p>
        </w:tc>
        <w:tc>
          <w:tcPr>
            <w:tcW w:w="0" w:type="auto"/>
          </w:tcPr>
          <w:p w14:paraId="5CE99F61" w14:textId="77777777" w:rsidR="003327CE" w:rsidRPr="00265A49" w:rsidRDefault="003327CE" w:rsidP="00265A49">
            <w:pPr>
              <w:pStyle w:val="Body"/>
              <w:pBdr>
                <w:top w:val="none" w:sz="0" w:space="0" w:color="auto"/>
                <w:left w:val="none" w:sz="0" w:space="0" w:color="auto"/>
                <w:bottom w:val="none" w:sz="0" w:space="0" w:color="auto"/>
                <w:right w:val="none" w:sz="0" w:space="0" w:color="auto"/>
                <w:bar w:val="none" w:sz="0" w:color="auto"/>
              </w:pBdr>
              <w:spacing w:before="0"/>
              <w:jc w:val="right"/>
              <w:rPr>
                <w:rFonts w:hAnsi="Arial" w:cs="Arial"/>
                <w:b/>
                <w:bCs/>
                <w:iCs/>
                <w:sz w:val="20"/>
                <w:szCs w:val="20"/>
                <w:lang w:val="en-GB"/>
              </w:rPr>
            </w:pPr>
            <w:r w:rsidRPr="00265A49">
              <w:rPr>
                <w:rFonts w:hAnsi="Arial" w:cs="Arial"/>
                <w:sz w:val="20"/>
                <w:szCs w:val="20"/>
                <w:lang w:val="en-GB"/>
              </w:rPr>
              <w:t>110</w:t>
            </w:r>
          </w:p>
        </w:tc>
        <w:tc>
          <w:tcPr>
            <w:tcW w:w="0" w:type="auto"/>
          </w:tcPr>
          <w:p w14:paraId="099422B6" w14:textId="77777777" w:rsidR="003327CE" w:rsidRPr="00265A49" w:rsidRDefault="003327CE" w:rsidP="00265A49">
            <w:pPr>
              <w:pStyle w:val="Body"/>
              <w:pBdr>
                <w:top w:val="none" w:sz="0" w:space="0" w:color="auto"/>
                <w:left w:val="none" w:sz="0" w:space="0" w:color="auto"/>
                <w:bottom w:val="none" w:sz="0" w:space="0" w:color="auto"/>
                <w:right w:val="none" w:sz="0" w:space="0" w:color="auto"/>
                <w:bar w:val="none" w:sz="0" w:color="auto"/>
              </w:pBdr>
              <w:spacing w:before="0"/>
              <w:jc w:val="right"/>
              <w:rPr>
                <w:rFonts w:hAnsi="Arial" w:cs="Arial"/>
                <w:b/>
                <w:bCs/>
                <w:iCs/>
                <w:sz w:val="20"/>
                <w:szCs w:val="20"/>
                <w:lang w:val="en-GB"/>
              </w:rPr>
            </w:pPr>
            <w:r w:rsidRPr="00265A49">
              <w:rPr>
                <w:rFonts w:hAnsi="Arial" w:cs="Arial"/>
                <w:sz w:val="20"/>
                <w:szCs w:val="20"/>
                <w:lang w:val="en-GB"/>
              </w:rPr>
              <w:t>7.1</w:t>
            </w:r>
          </w:p>
        </w:tc>
        <w:tc>
          <w:tcPr>
            <w:tcW w:w="0" w:type="auto"/>
          </w:tcPr>
          <w:p w14:paraId="130444C3" w14:textId="77777777" w:rsidR="003327CE" w:rsidRPr="00265A49" w:rsidRDefault="003327CE" w:rsidP="00265A49">
            <w:pPr>
              <w:pStyle w:val="Body"/>
              <w:pBdr>
                <w:top w:val="none" w:sz="0" w:space="0" w:color="auto"/>
                <w:left w:val="none" w:sz="0" w:space="0" w:color="auto"/>
                <w:bottom w:val="none" w:sz="0" w:space="0" w:color="auto"/>
                <w:right w:val="none" w:sz="0" w:space="0" w:color="auto"/>
                <w:bar w:val="none" w:sz="0" w:color="auto"/>
              </w:pBdr>
              <w:spacing w:before="0"/>
              <w:jc w:val="right"/>
              <w:rPr>
                <w:rFonts w:hAnsi="Arial" w:cs="Arial"/>
                <w:b/>
                <w:bCs/>
                <w:iCs/>
                <w:sz w:val="20"/>
                <w:szCs w:val="20"/>
                <w:lang w:val="en-GB"/>
              </w:rPr>
            </w:pPr>
            <w:r w:rsidRPr="00265A49">
              <w:rPr>
                <w:rFonts w:hAnsi="Arial" w:cs="Arial"/>
                <w:sz w:val="20"/>
                <w:szCs w:val="20"/>
                <w:lang w:val="en-GB"/>
              </w:rPr>
              <w:t>113</w:t>
            </w:r>
          </w:p>
        </w:tc>
        <w:tc>
          <w:tcPr>
            <w:tcW w:w="0" w:type="auto"/>
          </w:tcPr>
          <w:p w14:paraId="25CE9980" w14:textId="77777777" w:rsidR="003327CE" w:rsidRPr="00265A49" w:rsidRDefault="003327CE" w:rsidP="00265A49">
            <w:pPr>
              <w:pStyle w:val="Body"/>
              <w:pBdr>
                <w:top w:val="none" w:sz="0" w:space="0" w:color="auto"/>
                <w:left w:val="none" w:sz="0" w:space="0" w:color="auto"/>
                <w:bottom w:val="none" w:sz="0" w:space="0" w:color="auto"/>
                <w:right w:val="none" w:sz="0" w:space="0" w:color="auto"/>
                <w:bar w:val="none" w:sz="0" w:color="auto"/>
              </w:pBdr>
              <w:spacing w:before="0"/>
              <w:jc w:val="right"/>
              <w:rPr>
                <w:rFonts w:hAnsi="Arial" w:cs="Arial"/>
                <w:b/>
                <w:bCs/>
                <w:iCs/>
                <w:sz w:val="20"/>
                <w:szCs w:val="20"/>
                <w:lang w:val="en-GB"/>
              </w:rPr>
            </w:pPr>
            <w:r w:rsidRPr="00265A49">
              <w:rPr>
                <w:rFonts w:hAnsi="Arial" w:cs="Arial"/>
                <w:sz w:val="20"/>
                <w:szCs w:val="20"/>
                <w:lang w:val="en-GB"/>
              </w:rPr>
              <w:t>5.9</w:t>
            </w:r>
          </w:p>
        </w:tc>
      </w:tr>
      <w:tr w:rsidR="003327CE" w:rsidRPr="00265A49" w14:paraId="0FEE413F" w14:textId="77777777" w:rsidTr="00265A49">
        <w:trPr>
          <w:trHeight w:val="209"/>
        </w:trPr>
        <w:tc>
          <w:tcPr>
            <w:tcW w:w="0" w:type="auto"/>
          </w:tcPr>
          <w:p w14:paraId="0FD3956D" w14:textId="77777777" w:rsidR="003327CE" w:rsidRPr="00265A49" w:rsidRDefault="003327CE" w:rsidP="00E7110E">
            <w:pPr>
              <w:pStyle w:val="Body"/>
              <w:pBdr>
                <w:top w:val="none" w:sz="0" w:space="0" w:color="auto"/>
                <w:left w:val="none" w:sz="0" w:space="0" w:color="auto"/>
                <w:bottom w:val="none" w:sz="0" w:space="0" w:color="auto"/>
                <w:right w:val="none" w:sz="0" w:space="0" w:color="auto"/>
                <w:bar w:val="none" w:sz="0" w:color="auto"/>
              </w:pBdr>
              <w:spacing w:before="0"/>
              <w:rPr>
                <w:rFonts w:hAnsi="Arial" w:cs="Arial"/>
                <w:sz w:val="20"/>
                <w:szCs w:val="20"/>
                <w:lang w:val="en-GB"/>
              </w:rPr>
            </w:pPr>
            <w:r w:rsidRPr="00265A49">
              <w:rPr>
                <w:rFonts w:hAnsi="Arial" w:cs="Arial"/>
                <w:sz w:val="20"/>
                <w:szCs w:val="20"/>
                <w:lang w:val="en-GB"/>
              </w:rPr>
              <w:t>Total</w:t>
            </w:r>
          </w:p>
        </w:tc>
        <w:tc>
          <w:tcPr>
            <w:tcW w:w="0" w:type="auto"/>
          </w:tcPr>
          <w:p w14:paraId="431822BC" w14:textId="77777777" w:rsidR="003327CE" w:rsidRPr="00265A49" w:rsidRDefault="003327CE" w:rsidP="00265A49">
            <w:pPr>
              <w:pStyle w:val="Body"/>
              <w:pBdr>
                <w:top w:val="none" w:sz="0" w:space="0" w:color="auto"/>
                <w:left w:val="none" w:sz="0" w:space="0" w:color="auto"/>
                <w:bottom w:val="none" w:sz="0" w:space="0" w:color="auto"/>
                <w:right w:val="none" w:sz="0" w:space="0" w:color="auto"/>
                <w:bar w:val="none" w:sz="0" w:color="auto"/>
              </w:pBdr>
              <w:spacing w:before="0"/>
              <w:jc w:val="right"/>
              <w:rPr>
                <w:rFonts w:hAnsi="Arial" w:cs="Arial"/>
                <w:b/>
                <w:bCs/>
                <w:iCs/>
                <w:sz w:val="20"/>
                <w:szCs w:val="20"/>
                <w:lang w:val="en-GB"/>
              </w:rPr>
            </w:pPr>
            <w:r w:rsidRPr="00265A49">
              <w:rPr>
                <w:rFonts w:hAnsi="Arial" w:cs="Arial"/>
                <w:sz w:val="20"/>
                <w:szCs w:val="20"/>
                <w:lang w:val="en-GB"/>
              </w:rPr>
              <w:t>1253</w:t>
            </w:r>
          </w:p>
        </w:tc>
        <w:tc>
          <w:tcPr>
            <w:tcW w:w="0" w:type="auto"/>
          </w:tcPr>
          <w:p w14:paraId="0FF95041" w14:textId="77777777" w:rsidR="003327CE" w:rsidRPr="00265A49" w:rsidRDefault="003327CE" w:rsidP="00265A49">
            <w:pPr>
              <w:pStyle w:val="Body"/>
              <w:pBdr>
                <w:top w:val="none" w:sz="0" w:space="0" w:color="auto"/>
                <w:left w:val="none" w:sz="0" w:space="0" w:color="auto"/>
                <w:bottom w:val="none" w:sz="0" w:space="0" w:color="auto"/>
                <w:right w:val="none" w:sz="0" w:space="0" w:color="auto"/>
                <w:bar w:val="none" w:sz="0" w:color="auto"/>
              </w:pBdr>
              <w:spacing w:before="0"/>
              <w:jc w:val="right"/>
              <w:rPr>
                <w:rFonts w:hAnsi="Arial" w:cs="Arial"/>
                <w:b/>
                <w:bCs/>
                <w:iCs/>
                <w:sz w:val="20"/>
                <w:szCs w:val="20"/>
                <w:lang w:val="en-GB"/>
              </w:rPr>
            </w:pPr>
            <w:r w:rsidRPr="00265A49">
              <w:rPr>
                <w:rFonts w:hAnsi="Arial" w:cs="Arial"/>
                <w:sz w:val="20"/>
                <w:szCs w:val="20"/>
                <w:lang w:val="en-GB"/>
              </w:rPr>
              <w:t>100.0</w:t>
            </w:r>
          </w:p>
        </w:tc>
        <w:tc>
          <w:tcPr>
            <w:tcW w:w="0" w:type="auto"/>
          </w:tcPr>
          <w:p w14:paraId="6A888BCD" w14:textId="77777777" w:rsidR="003327CE" w:rsidRPr="00265A49" w:rsidRDefault="003327CE" w:rsidP="00265A49">
            <w:pPr>
              <w:pStyle w:val="Body"/>
              <w:pBdr>
                <w:top w:val="none" w:sz="0" w:space="0" w:color="auto"/>
                <w:left w:val="none" w:sz="0" w:space="0" w:color="auto"/>
                <w:bottom w:val="none" w:sz="0" w:space="0" w:color="auto"/>
                <w:right w:val="none" w:sz="0" w:space="0" w:color="auto"/>
                <w:bar w:val="none" w:sz="0" w:color="auto"/>
              </w:pBdr>
              <w:spacing w:before="0"/>
              <w:jc w:val="right"/>
              <w:rPr>
                <w:rFonts w:hAnsi="Arial" w:cs="Arial"/>
                <w:b/>
                <w:bCs/>
                <w:iCs/>
                <w:sz w:val="20"/>
                <w:szCs w:val="20"/>
                <w:lang w:val="en-GB"/>
              </w:rPr>
            </w:pPr>
            <w:r w:rsidRPr="00265A49">
              <w:rPr>
                <w:rFonts w:hAnsi="Arial" w:cs="Arial"/>
                <w:sz w:val="20"/>
                <w:szCs w:val="20"/>
                <w:lang w:val="en-GB"/>
              </w:rPr>
              <w:t>1556</w:t>
            </w:r>
          </w:p>
        </w:tc>
        <w:tc>
          <w:tcPr>
            <w:tcW w:w="0" w:type="auto"/>
          </w:tcPr>
          <w:p w14:paraId="13682E89" w14:textId="77777777" w:rsidR="003327CE" w:rsidRPr="00265A49" w:rsidRDefault="003327CE" w:rsidP="00265A49">
            <w:pPr>
              <w:pStyle w:val="Body"/>
              <w:pBdr>
                <w:top w:val="none" w:sz="0" w:space="0" w:color="auto"/>
                <w:left w:val="none" w:sz="0" w:space="0" w:color="auto"/>
                <w:bottom w:val="none" w:sz="0" w:space="0" w:color="auto"/>
                <w:right w:val="none" w:sz="0" w:space="0" w:color="auto"/>
                <w:bar w:val="none" w:sz="0" w:color="auto"/>
              </w:pBdr>
              <w:spacing w:before="0"/>
              <w:jc w:val="right"/>
              <w:rPr>
                <w:rFonts w:hAnsi="Arial" w:cs="Arial"/>
                <w:b/>
                <w:bCs/>
                <w:iCs/>
                <w:sz w:val="20"/>
                <w:szCs w:val="20"/>
                <w:lang w:val="en-GB"/>
              </w:rPr>
            </w:pPr>
            <w:r w:rsidRPr="00265A49">
              <w:rPr>
                <w:rFonts w:hAnsi="Arial" w:cs="Arial"/>
                <w:sz w:val="20"/>
                <w:szCs w:val="20"/>
                <w:lang w:val="en-GB"/>
              </w:rPr>
              <w:t>100.0</w:t>
            </w:r>
          </w:p>
        </w:tc>
        <w:tc>
          <w:tcPr>
            <w:tcW w:w="0" w:type="auto"/>
          </w:tcPr>
          <w:p w14:paraId="1ECE094D" w14:textId="77777777" w:rsidR="003327CE" w:rsidRPr="00265A49" w:rsidRDefault="003327CE" w:rsidP="00265A49">
            <w:pPr>
              <w:pStyle w:val="Body"/>
              <w:pBdr>
                <w:top w:val="none" w:sz="0" w:space="0" w:color="auto"/>
                <w:left w:val="none" w:sz="0" w:space="0" w:color="auto"/>
                <w:bottom w:val="none" w:sz="0" w:space="0" w:color="auto"/>
                <w:right w:val="none" w:sz="0" w:space="0" w:color="auto"/>
                <w:bar w:val="none" w:sz="0" w:color="auto"/>
              </w:pBdr>
              <w:spacing w:before="0"/>
              <w:jc w:val="right"/>
              <w:rPr>
                <w:rFonts w:hAnsi="Arial" w:cs="Arial"/>
                <w:b/>
                <w:bCs/>
                <w:iCs/>
                <w:sz w:val="20"/>
                <w:szCs w:val="20"/>
                <w:lang w:val="en-GB"/>
              </w:rPr>
            </w:pPr>
            <w:r w:rsidRPr="00265A49">
              <w:rPr>
                <w:rFonts w:hAnsi="Arial" w:cs="Arial"/>
                <w:sz w:val="20"/>
                <w:szCs w:val="20"/>
                <w:lang w:val="en-GB"/>
              </w:rPr>
              <w:t>1912</w:t>
            </w:r>
          </w:p>
        </w:tc>
        <w:tc>
          <w:tcPr>
            <w:tcW w:w="0" w:type="auto"/>
          </w:tcPr>
          <w:p w14:paraId="6147860B" w14:textId="77777777" w:rsidR="003327CE" w:rsidRPr="00265A49" w:rsidRDefault="003327CE" w:rsidP="00265A49">
            <w:pPr>
              <w:pStyle w:val="Body"/>
              <w:pBdr>
                <w:top w:val="none" w:sz="0" w:space="0" w:color="auto"/>
                <w:left w:val="none" w:sz="0" w:space="0" w:color="auto"/>
                <w:bottom w:val="none" w:sz="0" w:space="0" w:color="auto"/>
                <w:right w:val="none" w:sz="0" w:space="0" w:color="auto"/>
                <w:bar w:val="none" w:sz="0" w:color="auto"/>
              </w:pBdr>
              <w:spacing w:before="0"/>
              <w:jc w:val="right"/>
              <w:rPr>
                <w:rFonts w:hAnsi="Arial" w:cs="Arial"/>
                <w:b/>
                <w:bCs/>
                <w:iCs/>
                <w:sz w:val="20"/>
                <w:szCs w:val="20"/>
                <w:lang w:val="en-GB"/>
              </w:rPr>
            </w:pPr>
            <w:r w:rsidRPr="00265A49">
              <w:rPr>
                <w:rFonts w:hAnsi="Arial" w:cs="Arial"/>
                <w:sz w:val="20"/>
                <w:szCs w:val="20"/>
                <w:lang w:val="en-GB"/>
              </w:rPr>
              <w:t>100.0</w:t>
            </w:r>
          </w:p>
        </w:tc>
      </w:tr>
      <w:tr w:rsidR="003327CE" w:rsidRPr="00265A49" w14:paraId="68E4A5A5" w14:textId="77777777" w:rsidTr="00265A49">
        <w:trPr>
          <w:trHeight w:val="227"/>
        </w:trPr>
        <w:tc>
          <w:tcPr>
            <w:tcW w:w="0" w:type="auto"/>
          </w:tcPr>
          <w:p w14:paraId="4249BAEB" w14:textId="77777777" w:rsidR="003327CE" w:rsidRPr="00265A49" w:rsidRDefault="003327CE" w:rsidP="00E7110E">
            <w:pPr>
              <w:rPr>
                <w:sz w:val="20"/>
                <w:szCs w:val="20"/>
              </w:rPr>
            </w:pPr>
          </w:p>
        </w:tc>
        <w:tc>
          <w:tcPr>
            <w:tcW w:w="0" w:type="auto"/>
          </w:tcPr>
          <w:p w14:paraId="2194A995" w14:textId="77777777" w:rsidR="003327CE" w:rsidRPr="00265A49" w:rsidRDefault="003327CE" w:rsidP="00265A49">
            <w:pPr>
              <w:jc w:val="right"/>
              <w:rPr>
                <w:sz w:val="20"/>
                <w:szCs w:val="20"/>
              </w:rPr>
            </w:pPr>
          </w:p>
        </w:tc>
        <w:tc>
          <w:tcPr>
            <w:tcW w:w="0" w:type="auto"/>
          </w:tcPr>
          <w:p w14:paraId="5F3A754B" w14:textId="77777777" w:rsidR="003327CE" w:rsidRPr="00265A49" w:rsidRDefault="003327CE" w:rsidP="00265A49">
            <w:pPr>
              <w:jc w:val="right"/>
              <w:rPr>
                <w:sz w:val="20"/>
                <w:szCs w:val="20"/>
              </w:rPr>
            </w:pPr>
          </w:p>
        </w:tc>
        <w:tc>
          <w:tcPr>
            <w:tcW w:w="0" w:type="auto"/>
          </w:tcPr>
          <w:p w14:paraId="60B2B8FA" w14:textId="77777777" w:rsidR="003327CE" w:rsidRPr="00265A49" w:rsidRDefault="003327CE" w:rsidP="00265A49">
            <w:pPr>
              <w:jc w:val="right"/>
              <w:rPr>
                <w:sz w:val="20"/>
                <w:szCs w:val="20"/>
              </w:rPr>
            </w:pPr>
          </w:p>
        </w:tc>
        <w:tc>
          <w:tcPr>
            <w:tcW w:w="0" w:type="auto"/>
          </w:tcPr>
          <w:p w14:paraId="436F3CE4" w14:textId="77777777" w:rsidR="003327CE" w:rsidRPr="00265A49" w:rsidRDefault="003327CE" w:rsidP="00265A49">
            <w:pPr>
              <w:jc w:val="right"/>
              <w:rPr>
                <w:sz w:val="20"/>
                <w:szCs w:val="20"/>
              </w:rPr>
            </w:pPr>
          </w:p>
        </w:tc>
        <w:tc>
          <w:tcPr>
            <w:tcW w:w="0" w:type="auto"/>
          </w:tcPr>
          <w:p w14:paraId="1D7FCA27" w14:textId="77777777" w:rsidR="003327CE" w:rsidRPr="00265A49" w:rsidRDefault="003327CE" w:rsidP="00265A49">
            <w:pPr>
              <w:jc w:val="right"/>
              <w:rPr>
                <w:sz w:val="20"/>
                <w:szCs w:val="20"/>
              </w:rPr>
            </w:pPr>
          </w:p>
        </w:tc>
        <w:tc>
          <w:tcPr>
            <w:tcW w:w="0" w:type="auto"/>
          </w:tcPr>
          <w:p w14:paraId="4A7AED0B" w14:textId="77777777" w:rsidR="003327CE" w:rsidRPr="00265A49" w:rsidRDefault="003327CE" w:rsidP="00265A49">
            <w:pPr>
              <w:jc w:val="right"/>
              <w:rPr>
                <w:sz w:val="20"/>
                <w:szCs w:val="20"/>
              </w:rPr>
            </w:pPr>
          </w:p>
        </w:tc>
      </w:tr>
      <w:tr w:rsidR="003327CE" w:rsidRPr="00265A49" w14:paraId="6CFD4C1F" w14:textId="77777777" w:rsidTr="00265A49">
        <w:trPr>
          <w:trHeight w:val="260"/>
        </w:trPr>
        <w:tc>
          <w:tcPr>
            <w:tcW w:w="0" w:type="auto"/>
            <w:vMerge w:val="restart"/>
          </w:tcPr>
          <w:p w14:paraId="26B3A54D" w14:textId="77777777" w:rsidR="003327CE" w:rsidRPr="00265A49" w:rsidRDefault="003327CE" w:rsidP="00E7110E">
            <w:pPr>
              <w:pStyle w:val="Body"/>
              <w:pBdr>
                <w:top w:val="none" w:sz="0" w:space="0" w:color="auto"/>
                <w:left w:val="none" w:sz="0" w:space="0" w:color="auto"/>
                <w:bottom w:val="none" w:sz="0" w:space="0" w:color="auto"/>
                <w:right w:val="none" w:sz="0" w:space="0" w:color="auto"/>
                <w:bar w:val="none" w:sz="0" w:color="auto"/>
              </w:pBdr>
              <w:spacing w:before="0"/>
              <w:rPr>
                <w:rFonts w:hAnsi="Arial" w:cs="Arial"/>
                <w:sz w:val="20"/>
                <w:szCs w:val="20"/>
                <w:lang w:val="en-GB"/>
              </w:rPr>
            </w:pPr>
            <w:r w:rsidRPr="00265A49">
              <w:rPr>
                <w:rFonts w:hAnsi="Arial" w:cs="Arial"/>
                <w:sz w:val="20"/>
                <w:szCs w:val="20"/>
                <w:lang w:val="en-GB"/>
              </w:rPr>
              <w:t> </w:t>
            </w:r>
          </w:p>
        </w:tc>
        <w:tc>
          <w:tcPr>
            <w:tcW w:w="0" w:type="auto"/>
            <w:gridSpan w:val="2"/>
          </w:tcPr>
          <w:p w14:paraId="54D94633" w14:textId="77777777" w:rsidR="003327CE" w:rsidRPr="00265A49" w:rsidRDefault="003327CE" w:rsidP="00265A49">
            <w:pPr>
              <w:pStyle w:val="Body"/>
              <w:pBdr>
                <w:top w:val="none" w:sz="0" w:space="0" w:color="auto"/>
                <w:left w:val="none" w:sz="0" w:space="0" w:color="auto"/>
                <w:bottom w:val="none" w:sz="0" w:space="0" w:color="auto"/>
                <w:right w:val="none" w:sz="0" w:space="0" w:color="auto"/>
                <w:bar w:val="none" w:sz="0" w:color="auto"/>
              </w:pBdr>
              <w:spacing w:before="0"/>
              <w:jc w:val="right"/>
              <w:rPr>
                <w:rFonts w:hAnsi="Arial" w:cs="Arial"/>
                <w:sz w:val="20"/>
                <w:szCs w:val="20"/>
                <w:lang w:val="en-GB"/>
              </w:rPr>
            </w:pPr>
            <w:r w:rsidRPr="00265A49">
              <w:rPr>
                <w:rFonts w:hAnsi="Arial" w:cs="Arial"/>
                <w:sz w:val="20"/>
                <w:szCs w:val="20"/>
                <w:lang w:val="en-GB"/>
              </w:rPr>
              <w:t>41-50</w:t>
            </w:r>
          </w:p>
        </w:tc>
        <w:tc>
          <w:tcPr>
            <w:tcW w:w="0" w:type="auto"/>
            <w:gridSpan w:val="2"/>
          </w:tcPr>
          <w:p w14:paraId="2E66FA74" w14:textId="77777777" w:rsidR="003327CE" w:rsidRPr="00265A49" w:rsidRDefault="003327CE" w:rsidP="00265A49">
            <w:pPr>
              <w:pStyle w:val="Body"/>
              <w:pBdr>
                <w:top w:val="none" w:sz="0" w:space="0" w:color="auto"/>
                <w:left w:val="none" w:sz="0" w:space="0" w:color="auto"/>
                <w:bottom w:val="none" w:sz="0" w:space="0" w:color="auto"/>
                <w:right w:val="none" w:sz="0" w:space="0" w:color="auto"/>
                <w:bar w:val="none" w:sz="0" w:color="auto"/>
              </w:pBdr>
              <w:spacing w:before="0"/>
              <w:jc w:val="right"/>
              <w:rPr>
                <w:rFonts w:hAnsi="Arial" w:cs="Arial"/>
                <w:sz w:val="20"/>
                <w:szCs w:val="20"/>
                <w:lang w:val="en-GB"/>
              </w:rPr>
            </w:pPr>
            <w:r w:rsidRPr="00265A49">
              <w:rPr>
                <w:rFonts w:hAnsi="Arial" w:cs="Arial"/>
                <w:sz w:val="20"/>
                <w:szCs w:val="20"/>
                <w:lang w:val="en-GB"/>
              </w:rPr>
              <w:t>51-60</w:t>
            </w:r>
          </w:p>
        </w:tc>
        <w:tc>
          <w:tcPr>
            <w:tcW w:w="0" w:type="auto"/>
            <w:gridSpan w:val="2"/>
          </w:tcPr>
          <w:p w14:paraId="3FA30B82" w14:textId="77777777" w:rsidR="003327CE" w:rsidRPr="00265A49" w:rsidRDefault="003327CE" w:rsidP="00265A49">
            <w:pPr>
              <w:pStyle w:val="Body"/>
              <w:pBdr>
                <w:top w:val="none" w:sz="0" w:space="0" w:color="auto"/>
                <w:left w:val="none" w:sz="0" w:space="0" w:color="auto"/>
                <w:bottom w:val="none" w:sz="0" w:space="0" w:color="auto"/>
                <w:right w:val="none" w:sz="0" w:space="0" w:color="auto"/>
                <w:bar w:val="none" w:sz="0" w:color="auto"/>
              </w:pBdr>
              <w:spacing w:before="0"/>
              <w:jc w:val="right"/>
              <w:rPr>
                <w:rFonts w:hAnsi="Arial" w:cs="Arial"/>
                <w:sz w:val="20"/>
                <w:szCs w:val="20"/>
                <w:lang w:val="en-GB"/>
              </w:rPr>
            </w:pPr>
            <w:r w:rsidRPr="00265A49">
              <w:rPr>
                <w:rFonts w:hAnsi="Arial" w:cs="Arial"/>
                <w:sz w:val="20"/>
                <w:szCs w:val="20"/>
                <w:lang w:val="en-GB"/>
              </w:rPr>
              <w:t>61-70</w:t>
            </w:r>
          </w:p>
        </w:tc>
      </w:tr>
      <w:tr w:rsidR="003327CE" w:rsidRPr="00265A49" w14:paraId="6ABCD48B" w14:textId="77777777" w:rsidTr="00265A49">
        <w:trPr>
          <w:trHeight w:val="260"/>
        </w:trPr>
        <w:tc>
          <w:tcPr>
            <w:tcW w:w="0" w:type="auto"/>
            <w:vMerge/>
          </w:tcPr>
          <w:p w14:paraId="4C5E2F8E" w14:textId="77777777" w:rsidR="003327CE" w:rsidRPr="00265A49" w:rsidRDefault="003327CE" w:rsidP="00E7110E">
            <w:pPr>
              <w:rPr>
                <w:sz w:val="20"/>
                <w:szCs w:val="20"/>
              </w:rPr>
            </w:pPr>
          </w:p>
        </w:tc>
        <w:tc>
          <w:tcPr>
            <w:tcW w:w="0" w:type="auto"/>
          </w:tcPr>
          <w:p w14:paraId="545342CF" w14:textId="77777777" w:rsidR="003327CE" w:rsidRPr="00265A49" w:rsidRDefault="003327CE" w:rsidP="00265A49">
            <w:pPr>
              <w:pStyle w:val="Body"/>
              <w:pBdr>
                <w:top w:val="none" w:sz="0" w:space="0" w:color="auto"/>
                <w:left w:val="none" w:sz="0" w:space="0" w:color="auto"/>
                <w:bottom w:val="none" w:sz="0" w:space="0" w:color="auto"/>
                <w:right w:val="none" w:sz="0" w:space="0" w:color="auto"/>
                <w:bar w:val="none" w:sz="0" w:color="auto"/>
              </w:pBdr>
              <w:spacing w:before="0"/>
              <w:jc w:val="right"/>
              <w:rPr>
                <w:rFonts w:hAnsi="Arial" w:cs="Arial"/>
                <w:sz w:val="20"/>
                <w:szCs w:val="20"/>
                <w:lang w:val="en-GB"/>
              </w:rPr>
            </w:pPr>
            <w:r w:rsidRPr="00265A49">
              <w:rPr>
                <w:rFonts w:hAnsi="Arial" w:cs="Arial"/>
                <w:sz w:val="20"/>
                <w:szCs w:val="20"/>
                <w:lang w:val="en-GB"/>
              </w:rPr>
              <w:t>Count</w:t>
            </w:r>
          </w:p>
        </w:tc>
        <w:tc>
          <w:tcPr>
            <w:tcW w:w="0" w:type="auto"/>
          </w:tcPr>
          <w:p w14:paraId="1936F271" w14:textId="77777777" w:rsidR="003327CE" w:rsidRPr="00265A49" w:rsidRDefault="003327CE" w:rsidP="00265A49">
            <w:pPr>
              <w:pStyle w:val="Body"/>
              <w:pBdr>
                <w:top w:val="none" w:sz="0" w:space="0" w:color="auto"/>
                <w:left w:val="none" w:sz="0" w:space="0" w:color="auto"/>
                <w:bottom w:val="none" w:sz="0" w:space="0" w:color="auto"/>
                <w:right w:val="none" w:sz="0" w:space="0" w:color="auto"/>
                <w:bar w:val="none" w:sz="0" w:color="auto"/>
              </w:pBdr>
              <w:spacing w:before="0"/>
              <w:jc w:val="right"/>
              <w:rPr>
                <w:rFonts w:hAnsi="Arial" w:cs="Arial"/>
                <w:sz w:val="20"/>
                <w:szCs w:val="20"/>
                <w:lang w:val="en-GB"/>
              </w:rPr>
            </w:pPr>
            <w:r w:rsidRPr="00265A49">
              <w:rPr>
                <w:rFonts w:hAnsi="Arial" w:cs="Arial"/>
                <w:sz w:val="20"/>
                <w:szCs w:val="20"/>
                <w:lang w:val="en-GB"/>
              </w:rPr>
              <w:t>Column %</w:t>
            </w:r>
          </w:p>
        </w:tc>
        <w:tc>
          <w:tcPr>
            <w:tcW w:w="0" w:type="auto"/>
          </w:tcPr>
          <w:p w14:paraId="6BFF9A76" w14:textId="77777777" w:rsidR="003327CE" w:rsidRPr="00265A49" w:rsidRDefault="003327CE" w:rsidP="00265A49">
            <w:pPr>
              <w:pStyle w:val="Body"/>
              <w:pBdr>
                <w:top w:val="none" w:sz="0" w:space="0" w:color="auto"/>
                <w:left w:val="none" w:sz="0" w:space="0" w:color="auto"/>
                <w:bottom w:val="none" w:sz="0" w:space="0" w:color="auto"/>
                <w:right w:val="none" w:sz="0" w:space="0" w:color="auto"/>
                <w:bar w:val="none" w:sz="0" w:color="auto"/>
              </w:pBdr>
              <w:spacing w:before="0"/>
              <w:jc w:val="right"/>
              <w:rPr>
                <w:rFonts w:hAnsi="Arial" w:cs="Arial"/>
                <w:sz w:val="20"/>
                <w:szCs w:val="20"/>
                <w:lang w:val="en-GB"/>
              </w:rPr>
            </w:pPr>
            <w:r w:rsidRPr="00265A49">
              <w:rPr>
                <w:rFonts w:hAnsi="Arial" w:cs="Arial"/>
                <w:sz w:val="20"/>
                <w:szCs w:val="20"/>
                <w:lang w:val="en-GB"/>
              </w:rPr>
              <w:t>Count</w:t>
            </w:r>
          </w:p>
        </w:tc>
        <w:tc>
          <w:tcPr>
            <w:tcW w:w="0" w:type="auto"/>
          </w:tcPr>
          <w:p w14:paraId="47D590A9" w14:textId="77777777" w:rsidR="003327CE" w:rsidRPr="00265A49" w:rsidRDefault="003327CE" w:rsidP="00265A49">
            <w:pPr>
              <w:pStyle w:val="Body"/>
              <w:pBdr>
                <w:top w:val="none" w:sz="0" w:space="0" w:color="auto"/>
                <w:left w:val="none" w:sz="0" w:space="0" w:color="auto"/>
                <w:bottom w:val="none" w:sz="0" w:space="0" w:color="auto"/>
                <w:right w:val="none" w:sz="0" w:space="0" w:color="auto"/>
                <w:bar w:val="none" w:sz="0" w:color="auto"/>
              </w:pBdr>
              <w:spacing w:before="0"/>
              <w:jc w:val="right"/>
              <w:rPr>
                <w:rFonts w:hAnsi="Arial" w:cs="Arial"/>
                <w:sz w:val="20"/>
                <w:szCs w:val="20"/>
                <w:lang w:val="en-GB"/>
              </w:rPr>
            </w:pPr>
            <w:r w:rsidRPr="00265A49">
              <w:rPr>
                <w:rFonts w:hAnsi="Arial" w:cs="Arial"/>
                <w:sz w:val="20"/>
                <w:szCs w:val="20"/>
                <w:lang w:val="en-GB"/>
              </w:rPr>
              <w:t>Column %</w:t>
            </w:r>
          </w:p>
        </w:tc>
        <w:tc>
          <w:tcPr>
            <w:tcW w:w="0" w:type="auto"/>
          </w:tcPr>
          <w:p w14:paraId="671B7D88" w14:textId="77777777" w:rsidR="003327CE" w:rsidRPr="00265A49" w:rsidRDefault="003327CE" w:rsidP="00265A49">
            <w:pPr>
              <w:pStyle w:val="Body"/>
              <w:pBdr>
                <w:top w:val="none" w:sz="0" w:space="0" w:color="auto"/>
                <w:left w:val="none" w:sz="0" w:space="0" w:color="auto"/>
                <w:bottom w:val="none" w:sz="0" w:space="0" w:color="auto"/>
                <w:right w:val="none" w:sz="0" w:space="0" w:color="auto"/>
                <w:bar w:val="none" w:sz="0" w:color="auto"/>
              </w:pBdr>
              <w:spacing w:before="0"/>
              <w:jc w:val="right"/>
              <w:rPr>
                <w:rFonts w:hAnsi="Arial" w:cs="Arial"/>
                <w:sz w:val="20"/>
                <w:szCs w:val="20"/>
                <w:lang w:val="en-GB"/>
              </w:rPr>
            </w:pPr>
            <w:r w:rsidRPr="00265A49">
              <w:rPr>
                <w:rFonts w:hAnsi="Arial" w:cs="Arial"/>
                <w:sz w:val="20"/>
                <w:szCs w:val="20"/>
                <w:lang w:val="en-GB"/>
              </w:rPr>
              <w:t>Count</w:t>
            </w:r>
          </w:p>
        </w:tc>
        <w:tc>
          <w:tcPr>
            <w:tcW w:w="0" w:type="auto"/>
          </w:tcPr>
          <w:p w14:paraId="24ABB7F4" w14:textId="77777777" w:rsidR="003327CE" w:rsidRPr="00265A49" w:rsidRDefault="003327CE" w:rsidP="00265A49">
            <w:pPr>
              <w:pStyle w:val="Body"/>
              <w:pBdr>
                <w:top w:val="none" w:sz="0" w:space="0" w:color="auto"/>
                <w:left w:val="none" w:sz="0" w:space="0" w:color="auto"/>
                <w:bottom w:val="none" w:sz="0" w:space="0" w:color="auto"/>
                <w:right w:val="none" w:sz="0" w:space="0" w:color="auto"/>
                <w:bar w:val="none" w:sz="0" w:color="auto"/>
              </w:pBdr>
              <w:spacing w:before="0"/>
              <w:jc w:val="right"/>
              <w:rPr>
                <w:rFonts w:hAnsi="Arial" w:cs="Arial"/>
                <w:sz w:val="20"/>
                <w:szCs w:val="20"/>
                <w:lang w:val="en-GB"/>
              </w:rPr>
            </w:pPr>
            <w:r w:rsidRPr="00265A49">
              <w:rPr>
                <w:rFonts w:hAnsi="Arial" w:cs="Arial"/>
                <w:sz w:val="20"/>
                <w:szCs w:val="20"/>
                <w:lang w:val="en-GB"/>
              </w:rPr>
              <w:t>Column %</w:t>
            </w:r>
          </w:p>
        </w:tc>
      </w:tr>
      <w:tr w:rsidR="003327CE" w:rsidRPr="00265A49" w14:paraId="1E8350AD" w14:textId="77777777" w:rsidTr="00265A49">
        <w:trPr>
          <w:trHeight w:val="209"/>
        </w:trPr>
        <w:tc>
          <w:tcPr>
            <w:tcW w:w="0" w:type="auto"/>
          </w:tcPr>
          <w:p w14:paraId="6932CE95" w14:textId="77777777" w:rsidR="003327CE" w:rsidRPr="00265A49" w:rsidRDefault="003327CE" w:rsidP="00E7110E">
            <w:pPr>
              <w:pStyle w:val="Body"/>
              <w:pBdr>
                <w:top w:val="none" w:sz="0" w:space="0" w:color="auto"/>
                <w:left w:val="none" w:sz="0" w:space="0" w:color="auto"/>
                <w:bottom w:val="none" w:sz="0" w:space="0" w:color="auto"/>
                <w:right w:val="none" w:sz="0" w:space="0" w:color="auto"/>
                <w:bar w:val="none" w:sz="0" w:color="auto"/>
              </w:pBdr>
              <w:spacing w:before="0"/>
              <w:rPr>
                <w:rFonts w:hAnsi="Arial" w:cs="Arial"/>
                <w:sz w:val="20"/>
                <w:szCs w:val="20"/>
                <w:lang w:val="en-GB"/>
              </w:rPr>
            </w:pPr>
            <w:r w:rsidRPr="00265A49">
              <w:rPr>
                <w:rFonts w:hAnsi="Arial" w:cs="Arial"/>
                <w:sz w:val="20"/>
                <w:szCs w:val="20"/>
                <w:lang w:val="en-GB"/>
              </w:rPr>
              <w:t>Employed</w:t>
            </w:r>
          </w:p>
        </w:tc>
        <w:tc>
          <w:tcPr>
            <w:tcW w:w="0" w:type="auto"/>
          </w:tcPr>
          <w:p w14:paraId="5D2C0E28" w14:textId="77777777" w:rsidR="003327CE" w:rsidRPr="00265A49" w:rsidRDefault="003327CE" w:rsidP="00265A49">
            <w:pPr>
              <w:pStyle w:val="Body"/>
              <w:pBdr>
                <w:top w:val="none" w:sz="0" w:space="0" w:color="auto"/>
                <w:left w:val="none" w:sz="0" w:space="0" w:color="auto"/>
                <w:bottom w:val="none" w:sz="0" w:space="0" w:color="auto"/>
                <w:right w:val="none" w:sz="0" w:space="0" w:color="auto"/>
                <w:bar w:val="none" w:sz="0" w:color="auto"/>
              </w:pBdr>
              <w:spacing w:before="0"/>
              <w:jc w:val="right"/>
              <w:rPr>
                <w:rFonts w:hAnsi="Arial" w:cs="Arial"/>
                <w:b/>
                <w:bCs/>
                <w:iCs/>
                <w:sz w:val="20"/>
                <w:szCs w:val="20"/>
                <w:lang w:val="en-GB"/>
              </w:rPr>
            </w:pPr>
            <w:r w:rsidRPr="00265A49">
              <w:rPr>
                <w:rFonts w:hAnsi="Arial" w:cs="Arial"/>
                <w:sz w:val="20"/>
                <w:szCs w:val="20"/>
                <w:lang w:val="en-GB"/>
              </w:rPr>
              <w:t>1138</w:t>
            </w:r>
          </w:p>
        </w:tc>
        <w:tc>
          <w:tcPr>
            <w:tcW w:w="0" w:type="auto"/>
          </w:tcPr>
          <w:p w14:paraId="7E28012C" w14:textId="77777777" w:rsidR="003327CE" w:rsidRPr="00265A49" w:rsidRDefault="003327CE" w:rsidP="00265A49">
            <w:pPr>
              <w:pStyle w:val="Body"/>
              <w:pBdr>
                <w:top w:val="none" w:sz="0" w:space="0" w:color="auto"/>
                <w:left w:val="none" w:sz="0" w:space="0" w:color="auto"/>
                <w:bottom w:val="none" w:sz="0" w:space="0" w:color="auto"/>
                <w:right w:val="none" w:sz="0" w:space="0" w:color="auto"/>
                <w:bar w:val="none" w:sz="0" w:color="auto"/>
              </w:pBdr>
              <w:spacing w:before="0"/>
              <w:jc w:val="right"/>
              <w:rPr>
                <w:rFonts w:hAnsi="Arial" w:cs="Arial"/>
                <w:b/>
                <w:bCs/>
                <w:iCs/>
                <w:sz w:val="20"/>
                <w:szCs w:val="20"/>
                <w:lang w:val="en-GB"/>
              </w:rPr>
            </w:pPr>
            <w:r w:rsidRPr="00265A49">
              <w:rPr>
                <w:rFonts w:hAnsi="Arial" w:cs="Arial"/>
                <w:sz w:val="20"/>
                <w:szCs w:val="20"/>
                <w:lang w:val="en-GB"/>
              </w:rPr>
              <w:t>40.3</w:t>
            </w:r>
          </w:p>
        </w:tc>
        <w:tc>
          <w:tcPr>
            <w:tcW w:w="0" w:type="auto"/>
          </w:tcPr>
          <w:p w14:paraId="5FC203B9" w14:textId="77777777" w:rsidR="003327CE" w:rsidRPr="00265A49" w:rsidRDefault="003327CE" w:rsidP="00265A49">
            <w:pPr>
              <w:pStyle w:val="Body"/>
              <w:pBdr>
                <w:top w:val="none" w:sz="0" w:space="0" w:color="auto"/>
                <w:left w:val="none" w:sz="0" w:space="0" w:color="auto"/>
                <w:bottom w:val="none" w:sz="0" w:space="0" w:color="auto"/>
                <w:right w:val="none" w:sz="0" w:space="0" w:color="auto"/>
                <w:bar w:val="none" w:sz="0" w:color="auto"/>
              </w:pBdr>
              <w:spacing w:before="0"/>
              <w:jc w:val="right"/>
              <w:rPr>
                <w:rFonts w:hAnsi="Arial" w:cs="Arial"/>
                <w:b/>
                <w:bCs/>
                <w:iCs/>
                <w:sz w:val="20"/>
                <w:szCs w:val="20"/>
                <w:lang w:val="en-GB"/>
              </w:rPr>
            </w:pPr>
            <w:r w:rsidRPr="00265A49">
              <w:rPr>
                <w:rFonts w:hAnsi="Arial" w:cs="Arial"/>
                <w:sz w:val="20"/>
                <w:szCs w:val="20"/>
                <w:lang w:val="en-GB"/>
              </w:rPr>
              <w:t>1451</w:t>
            </w:r>
          </w:p>
        </w:tc>
        <w:tc>
          <w:tcPr>
            <w:tcW w:w="0" w:type="auto"/>
          </w:tcPr>
          <w:p w14:paraId="3115AB19" w14:textId="77777777" w:rsidR="003327CE" w:rsidRPr="00265A49" w:rsidRDefault="003327CE" w:rsidP="00265A49">
            <w:pPr>
              <w:pStyle w:val="Body"/>
              <w:pBdr>
                <w:top w:val="none" w:sz="0" w:space="0" w:color="auto"/>
                <w:left w:val="none" w:sz="0" w:space="0" w:color="auto"/>
                <w:bottom w:val="none" w:sz="0" w:space="0" w:color="auto"/>
                <w:right w:val="none" w:sz="0" w:space="0" w:color="auto"/>
                <w:bar w:val="none" w:sz="0" w:color="auto"/>
              </w:pBdr>
              <w:spacing w:before="0"/>
              <w:jc w:val="right"/>
              <w:rPr>
                <w:rFonts w:hAnsi="Arial" w:cs="Arial"/>
                <w:b/>
                <w:bCs/>
                <w:iCs/>
                <w:sz w:val="20"/>
                <w:szCs w:val="20"/>
                <w:lang w:val="en-GB"/>
              </w:rPr>
            </w:pPr>
            <w:r w:rsidRPr="00265A49">
              <w:rPr>
                <w:rFonts w:hAnsi="Arial" w:cs="Arial"/>
                <w:sz w:val="20"/>
                <w:szCs w:val="20"/>
                <w:lang w:val="en-GB"/>
              </w:rPr>
              <w:t>28.3</w:t>
            </w:r>
          </w:p>
        </w:tc>
        <w:tc>
          <w:tcPr>
            <w:tcW w:w="0" w:type="auto"/>
          </w:tcPr>
          <w:p w14:paraId="27519E39" w14:textId="77777777" w:rsidR="003327CE" w:rsidRPr="00265A49" w:rsidRDefault="003327CE" w:rsidP="00265A49">
            <w:pPr>
              <w:pStyle w:val="Body"/>
              <w:pBdr>
                <w:top w:val="none" w:sz="0" w:space="0" w:color="auto"/>
                <w:left w:val="none" w:sz="0" w:space="0" w:color="auto"/>
                <w:bottom w:val="none" w:sz="0" w:space="0" w:color="auto"/>
                <w:right w:val="none" w:sz="0" w:space="0" w:color="auto"/>
                <w:bar w:val="none" w:sz="0" w:color="auto"/>
              </w:pBdr>
              <w:spacing w:before="0"/>
              <w:jc w:val="right"/>
              <w:rPr>
                <w:rFonts w:hAnsi="Arial" w:cs="Arial"/>
                <w:b/>
                <w:bCs/>
                <w:iCs/>
                <w:sz w:val="20"/>
                <w:szCs w:val="20"/>
                <w:lang w:val="en-GB"/>
              </w:rPr>
            </w:pPr>
            <w:r w:rsidRPr="00265A49">
              <w:rPr>
                <w:rFonts w:hAnsi="Arial" w:cs="Arial"/>
                <w:sz w:val="20"/>
                <w:szCs w:val="20"/>
                <w:lang w:val="en-GB"/>
              </w:rPr>
              <w:t>233</w:t>
            </w:r>
          </w:p>
        </w:tc>
        <w:tc>
          <w:tcPr>
            <w:tcW w:w="0" w:type="auto"/>
          </w:tcPr>
          <w:p w14:paraId="012FB6C5" w14:textId="77777777" w:rsidR="003327CE" w:rsidRPr="00265A49" w:rsidRDefault="003327CE" w:rsidP="00265A49">
            <w:pPr>
              <w:pStyle w:val="Body"/>
              <w:pBdr>
                <w:top w:val="none" w:sz="0" w:space="0" w:color="auto"/>
                <w:left w:val="none" w:sz="0" w:space="0" w:color="auto"/>
                <w:bottom w:val="none" w:sz="0" w:space="0" w:color="auto"/>
                <w:right w:val="none" w:sz="0" w:space="0" w:color="auto"/>
                <w:bar w:val="none" w:sz="0" w:color="auto"/>
              </w:pBdr>
              <w:spacing w:before="0"/>
              <w:jc w:val="right"/>
              <w:rPr>
                <w:rFonts w:hAnsi="Arial" w:cs="Arial"/>
                <w:b/>
                <w:bCs/>
                <w:iCs/>
                <w:sz w:val="20"/>
                <w:szCs w:val="20"/>
                <w:lang w:val="en-GB"/>
              </w:rPr>
            </w:pPr>
            <w:r w:rsidRPr="00265A49">
              <w:rPr>
                <w:rFonts w:hAnsi="Arial" w:cs="Arial"/>
                <w:sz w:val="20"/>
                <w:szCs w:val="20"/>
                <w:lang w:val="en-GB"/>
              </w:rPr>
              <w:t>4.4</w:t>
            </w:r>
          </w:p>
        </w:tc>
      </w:tr>
      <w:tr w:rsidR="003327CE" w:rsidRPr="00265A49" w14:paraId="415220EC" w14:textId="77777777" w:rsidTr="00265A49">
        <w:trPr>
          <w:trHeight w:val="194"/>
        </w:trPr>
        <w:tc>
          <w:tcPr>
            <w:tcW w:w="0" w:type="auto"/>
          </w:tcPr>
          <w:p w14:paraId="2EBABDAA" w14:textId="77777777" w:rsidR="003327CE" w:rsidRPr="00265A49" w:rsidRDefault="003327CE" w:rsidP="00E7110E">
            <w:pPr>
              <w:pStyle w:val="Body"/>
              <w:pBdr>
                <w:top w:val="none" w:sz="0" w:space="0" w:color="auto"/>
                <w:left w:val="none" w:sz="0" w:space="0" w:color="auto"/>
                <w:bottom w:val="none" w:sz="0" w:space="0" w:color="auto"/>
                <w:right w:val="none" w:sz="0" w:space="0" w:color="auto"/>
                <w:bar w:val="none" w:sz="0" w:color="auto"/>
              </w:pBdr>
              <w:spacing w:before="0"/>
              <w:rPr>
                <w:rFonts w:hAnsi="Arial" w:cs="Arial"/>
                <w:sz w:val="20"/>
                <w:szCs w:val="20"/>
                <w:lang w:val="en-GB"/>
              </w:rPr>
            </w:pPr>
            <w:r w:rsidRPr="00265A49">
              <w:rPr>
                <w:rFonts w:hAnsi="Arial" w:cs="Arial"/>
                <w:sz w:val="20"/>
                <w:szCs w:val="20"/>
                <w:lang w:val="en-GB"/>
              </w:rPr>
              <w:t>Unemployed</w:t>
            </w:r>
          </w:p>
        </w:tc>
        <w:tc>
          <w:tcPr>
            <w:tcW w:w="0" w:type="auto"/>
          </w:tcPr>
          <w:p w14:paraId="4D0AE64E" w14:textId="77777777" w:rsidR="003327CE" w:rsidRPr="00265A49" w:rsidRDefault="003327CE" w:rsidP="00265A49">
            <w:pPr>
              <w:pStyle w:val="Body"/>
              <w:pBdr>
                <w:top w:val="none" w:sz="0" w:space="0" w:color="auto"/>
                <w:left w:val="none" w:sz="0" w:space="0" w:color="auto"/>
                <w:bottom w:val="none" w:sz="0" w:space="0" w:color="auto"/>
                <w:right w:val="none" w:sz="0" w:space="0" w:color="auto"/>
                <w:bar w:val="none" w:sz="0" w:color="auto"/>
              </w:pBdr>
              <w:spacing w:before="0"/>
              <w:jc w:val="right"/>
              <w:rPr>
                <w:rFonts w:hAnsi="Arial" w:cs="Arial"/>
                <w:b/>
                <w:bCs/>
                <w:iCs/>
                <w:sz w:val="20"/>
                <w:szCs w:val="20"/>
                <w:lang w:val="en-GB"/>
              </w:rPr>
            </w:pPr>
            <w:r w:rsidRPr="00265A49">
              <w:rPr>
                <w:rFonts w:hAnsi="Arial" w:cs="Arial"/>
                <w:sz w:val="20"/>
                <w:szCs w:val="20"/>
                <w:lang w:val="en-GB"/>
              </w:rPr>
              <w:t>117</w:t>
            </w:r>
          </w:p>
        </w:tc>
        <w:tc>
          <w:tcPr>
            <w:tcW w:w="0" w:type="auto"/>
          </w:tcPr>
          <w:p w14:paraId="363221BB" w14:textId="77777777" w:rsidR="003327CE" w:rsidRPr="00265A49" w:rsidRDefault="003327CE" w:rsidP="00265A49">
            <w:pPr>
              <w:pStyle w:val="Body"/>
              <w:pBdr>
                <w:top w:val="none" w:sz="0" w:space="0" w:color="auto"/>
                <w:left w:val="none" w:sz="0" w:space="0" w:color="auto"/>
                <w:bottom w:val="none" w:sz="0" w:space="0" w:color="auto"/>
                <w:right w:val="none" w:sz="0" w:space="0" w:color="auto"/>
                <w:bar w:val="none" w:sz="0" w:color="auto"/>
              </w:pBdr>
              <w:spacing w:before="0"/>
              <w:jc w:val="right"/>
              <w:rPr>
                <w:rFonts w:hAnsi="Arial" w:cs="Arial"/>
                <w:b/>
                <w:bCs/>
                <w:iCs/>
                <w:sz w:val="20"/>
                <w:szCs w:val="20"/>
                <w:lang w:val="en-GB"/>
              </w:rPr>
            </w:pPr>
            <w:r w:rsidRPr="00265A49">
              <w:rPr>
                <w:rFonts w:hAnsi="Arial" w:cs="Arial"/>
                <w:sz w:val="20"/>
                <w:szCs w:val="20"/>
                <w:lang w:val="en-GB"/>
              </w:rPr>
              <w:t>4.1</w:t>
            </w:r>
          </w:p>
        </w:tc>
        <w:tc>
          <w:tcPr>
            <w:tcW w:w="0" w:type="auto"/>
          </w:tcPr>
          <w:p w14:paraId="3C44C792" w14:textId="77777777" w:rsidR="003327CE" w:rsidRPr="00265A49" w:rsidRDefault="003327CE" w:rsidP="00265A49">
            <w:pPr>
              <w:pStyle w:val="Body"/>
              <w:pBdr>
                <w:top w:val="none" w:sz="0" w:space="0" w:color="auto"/>
                <w:left w:val="none" w:sz="0" w:space="0" w:color="auto"/>
                <w:bottom w:val="none" w:sz="0" w:space="0" w:color="auto"/>
                <w:right w:val="none" w:sz="0" w:space="0" w:color="auto"/>
                <w:bar w:val="none" w:sz="0" w:color="auto"/>
              </w:pBdr>
              <w:spacing w:before="0"/>
              <w:jc w:val="right"/>
              <w:rPr>
                <w:rFonts w:hAnsi="Arial" w:cs="Arial"/>
                <w:b/>
                <w:bCs/>
                <w:iCs/>
                <w:sz w:val="20"/>
                <w:szCs w:val="20"/>
                <w:lang w:val="en-GB"/>
              </w:rPr>
            </w:pPr>
            <w:r w:rsidRPr="00265A49">
              <w:rPr>
                <w:rFonts w:hAnsi="Arial" w:cs="Arial"/>
                <w:sz w:val="20"/>
                <w:szCs w:val="20"/>
                <w:lang w:val="en-GB"/>
              </w:rPr>
              <w:t>135</w:t>
            </w:r>
          </w:p>
        </w:tc>
        <w:tc>
          <w:tcPr>
            <w:tcW w:w="0" w:type="auto"/>
          </w:tcPr>
          <w:p w14:paraId="35A8EE34" w14:textId="77777777" w:rsidR="003327CE" w:rsidRPr="00265A49" w:rsidRDefault="003327CE" w:rsidP="00265A49">
            <w:pPr>
              <w:pStyle w:val="Body"/>
              <w:pBdr>
                <w:top w:val="none" w:sz="0" w:space="0" w:color="auto"/>
                <w:left w:val="none" w:sz="0" w:space="0" w:color="auto"/>
                <w:bottom w:val="none" w:sz="0" w:space="0" w:color="auto"/>
                <w:right w:val="none" w:sz="0" w:space="0" w:color="auto"/>
                <w:bar w:val="none" w:sz="0" w:color="auto"/>
              </w:pBdr>
              <w:spacing w:before="0"/>
              <w:jc w:val="right"/>
              <w:rPr>
                <w:rFonts w:hAnsi="Arial" w:cs="Arial"/>
                <w:b/>
                <w:bCs/>
                <w:iCs/>
                <w:sz w:val="20"/>
                <w:szCs w:val="20"/>
                <w:lang w:val="en-GB"/>
              </w:rPr>
            </w:pPr>
            <w:r w:rsidRPr="00265A49">
              <w:rPr>
                <w:rFonts w:hAnsi="Arial" w:cs="Arial"/>
                <w:sz w:val="20"/>
                <w:szCs w:val="20"/>
                <w:lang w:val="en-GB"/>
              </w:rPr>
              <w:t>2.6</w:t>
            </w:r>
          </w:p>
        </w:tc>
        <w:tc>
          <w:tcPr>
            <w:tcW w:w="0" w:type="auto"/>
          </w:tcPr>
          <w:p w14:paraId="2CC70347" w14:textId="77777777" w:rsidR="003327CE" w:rsidRPr="00265A49" w:rsidRDefault="003327CE" w:rsidP="00265A49">
            <w:pPr>
              <w:pStyle w:val="Body"/>
              <w:pBdr>
                <w:top w:val="none" w:sz="0" w:space="0" w:color="auto"/>
                <w:left w:val="none" w:sz="0" w:space="0" w:color="auto"/>
                <w:bottom w:val="none" w:sz="0" w:space="0" w:color="auto"/>
                <w:right w:val="none" w:sz="0" w:space="0" w:color="auto"/>
                <w:bar w:val="none" w:sz="0" w:color="auto"/>
              </w:pBdr>
              <w:spacing w:before="0"/>
              <w:jc w:val="right"/>
              <w:rPr>
                <w:rFonts w:hAnsi="Arial" w:cs="Arial"/>
                <w:b/>
                <w:bCs/>
                <w:iCs/>
                <w:sz w:val="20"/>
                <w:szCs w:val="20"/>
                <w:lang w:val="en-GB"/>
              </w:rPr>
            </w:pPr>
            <w:r w:rsidRPr="00265A49">
              <w:rPr>
                <w:rFonts w:hAnsi="Arial" w:cs="Arial"/>
                <w:sz w:val="20"/>
                <w:szCs w:val="20"/>
                <w:lang w:val="en-GB"/>
              </w:rPr>
              <w:t>1</w:t>
            </w:r>
          </w:p>
        </w:tc>
        <w:tc>
          <w:tcPr>
            <w:tcW w:w="0" w:type="auto"/>
          </w:tcPr>
          <w:p w14:paraId="69D59215" w14:textId="77777777" w:rsidR="003327CE" w:rsidRPr="00265A49" w:rsidRDefault="003327CE" w:rsidP="00265A49">
            <w:pPr>
              <w:pStyle w:val="Body"/>
              <w:pBdr>
                <w:top w:val="none" w:sz="0" w:space="0" w:color="auto"/>
                <w:left w:val="none" w:sz="0" w:space="0" w:color="auto"/>
                <w:bottom w:val="none" w:sz="0" w:space="0" w:color="auto"/>
                <w:right w:val="none" w:sz="0" w:space="0" w:color="auto"/>
                <w:bar w:val="none" w:sz="0" w:color="auto"/>
              </w:pBdr>
              <w:spacing w:before="0"/>
              <w:jc w:val="right"/>
              <w:rPr>
                <w:rFonts w:hAnsi="Arial" w:cs="Arial"/>
                <w:b/>
                <w:bCs/>
                <w:iCs/>
                <w:sz w:val="20"/>
                <w:szCs w:val="20"/>
                <w:lang w:val="en-GB"/>
              </w:rPr>
            </w:pPr>
            <w:r w:rsidRPr="00265A49">
              <w:rPr>
                <w:rFonts w:hAnsi="Arial" w:cs="Arial"/>
                <w:sz w:val="20"/>
                <w:szCs w:val="20"/>
                <w:lang w:val="en-GB"/>
              </w:rPr>
              <w:t>.0</w:t>
            </w:r>
          </w:p>
        </w:tc>
      </w:tr>
      <w:tr w:rsidR="003327CE" w:rsidRPr="00265A49" w14:paraId="5D8DDDFC" w14:textId="77777777" w:rsidTr="00265A49">
        <w:trPr>
          <w:trHeight w:val="194"/>
        </w:trPr>
        <w:tc>
          <w:tcPr>
            <w:tcW w:w="0" w:type="auto"/>
          </w:tcPr>
          <w:p w14:paraId="06C5C9CA" w14:textId="77777777" w:rsidR="003327CE" w:rsidRPr="00265A49" w:rsidRDefault="003327CE" w:rsidP="00E7110E">
            <w:pPr>
              <w:pStyle w:val="Body"/>
              <w:pBdr>
                <w:top w:val="none" w:sz="0" w:space="0" w:color="auto"/>
                <w:left w:val="none" w:sz="0" w:space="0" w:color="auto"/>
                <w:bottom w:val="none" w:sz="0" w:space="0" w:color="auto"/>
                <w:right w:val="none" w:sz="0" w:space="0" w:color="auto"/>
                <w:bar w:val="none" w:sz="0" w:color="auto"/>
              </w:pBdr>
              <w:spacing w:before="0"/>
              <w:rPr>
                <w:rFonts w:hAnsi="Arial" w:cs="Arial"/>
                <w:sz w:val="20"/>
                <w:szCs w:val="20"/>
                <w:lang w:val="en-GB"/>
              </w:rPr>
            </w:pPr>
            <w:r w:rsidRPr="00265A49">
              <w:rPr>
                <w:rFonts w:hAnsi="Arial" w:cs="Arial"/>
                <w:sz w:val="20"/>
                <w:szCs w:val="20"/>
                <w:lang w:val="en-GB"/>
              </w:rPr>
              <w:t>Student/ unpaid work</w:t>
            </w:r>
          </w:p>
        </w:tc>
        <w:tc>
          <w:tcPr>
            <w:tcW w:w="0" w:type="auto"/>
          </w:tcPr>
          <w:p w14:paraId="6CDB0BDE" w14:textId="77777777" w:rsidR="003327CE" w:rsidRPr="00265A49" w:rsidRDefault="003327CE" w:rsidP="00265A49">
            <w:pPr>
              <w:pStyle w:val="Body"/>
              <w:pBdr>
                <w:top w:val="none" w:sz="0" w:space="0" w:color="auto"/>
                <w:left w:val="none" w:sz="0" w:space="0" w:color="auto"/>
                <w:bottom w:val="none" w:sz="0" w:space="0" w:color="auto"/>
                <w:right w:val="none" w:sz="0" w:space="0" w:color="auto"/>
                <w:bar w:val="none" w:sz="0" w:color="auto"/>
              </w:pBdr>
              <w:spacing w:before="0"/>
              <w:jc w:val="right"/>
              <w:rPr>
                <w:rFonts w:hAnsi="Arial" w:cs="Arial"/>
                <w:b/>
                <w:bCs/>
                <w:iCs/>
                <w:sz w:val="20"/>
                <w:szCs w:val="20"/>
                <w:lang w:val="en-GB"/>
              </w:rPr>
            </w:pPr>
            <w:r w:rsidRPr="00265A49">
              <w:rPr>
                <w:rFonts w:hAnsi="Arial" w:cs="Arial"/>
                <w:sz w:val="20"/>
                <w:szCs w:val="20"/>
                <w:lang w:val="en-GB"/>
              </w:rPr>
              <w:t>2</w:t>
            </w:r>
          </w:p>
        </w:tc>
        <w:tc>
          <w:tcPr>
            <w:tcW w:w="0" w:type="auto"/>
          </w:tcPr>
          <w:p w14:paraId="2A633A69" w14:textId="77777777" w:rsidR="003327CE" w:rsidRPr="00265A49" w:rsidRDefault="003327CE" w:rsidP="00265A49">
            <w:pPr>
              <w:pStyle w:val="Body"/>
              <w:pBdr>
                <w:top w:val="none" w:sz="0" w:space="0" w:color="auto"/>
                <w:left w:val="none" w:sz="0" w:space="0" w:color="auto"/>
                <w:bottom w:val="none" w:sz="0" w:space="0" w:color="auto"/>
                <w:right w:val="none" w:sz="0" w:space="0" w:color="auto"/>
                <w:bar w:val="none" w:sz="0" w:color="auto"/>
              </w:pBdr>
              <w:spacing w:before="0"/>
              <w:jc w:val="right"/>
              <w:rPr>
                <w:rFonts w:hAnsi="Arial" w:cs="Arial"/>
                <w:b/>
                <w:bCs/>
                <w:iCs/>
                <w:sz w:val="20"/>
                <w:szCs w:val="20"/>
                <w:lang w:val="en-GB"/>
              </w:rPr>
            </w:pPr>
            <w:r w:rsidRPr="00265A49">
              <w:rPr>
                <w:rFonts w:hAnsi="Arial" w:cs="Arial"/>
                <w:sz w:val="20"/>
                <w:szCs w:val="20"/>
                <w:lang w:val="en-GB"/>
              </w:rPr>
              <w:t>.1</w:t>
            </w:r>
          </w:p>
        </w:tc>
        <w:tc>
          <w:tcPr>
            <w:tcW w:w="0" w:type="auto"/>
          </w:tcPr>
          <w:p w14:paraId="3BC4A43D" w14:textId="77777777" w:rsidR="003327CE" w:rsidRPr="00265A49" w:rsidRDefault="003327CE" w:rsidP="00265A49">
            <w:pPr>
              <w:pStyle w:val="Body"/>
              <w:pBdr>
                <w:top w:val="none" w:sz="0" w:space="0" w:color="auto"/>
                <w:left w:val="none" w:sz="0" w:space="0" w:color="auto"/>
                <w:bottom w:val="none" w:sz="0" w:space="0" w:color="auto"/>
                <w:right w:val="none" w:sz="0" w:space="0" w:color="auto"/>
                <w:bar w:val="none" w:sz="0" w:color="auto"/>
              </w:pBdr>
              <w:spacing w:before="0"/>
              <w:jc w:val="right"/>
              <w:rPr>
                <w:rFonts w:hAnsi="Arial" w:cs="Arial"/>
                <w:b/>
                <w:bCs/>
                <w:iCs/>
                <w:sz w:val="20"/>
                <w:szCs w:val="20"/>
                <w:lang w:val="en-GB"/>
              </w:rPr>
            </w:pPr>
            <w:r w:rsidRPr="00265A49">
              <w:rPr>
                <w:rFonts w:hAnsi="Arial" w:cs="Arial"/>
                <w:sz w:val="20"/>
                <w:szCs w:val="20"/>
                <w:lang w:val="en-GB"/>
              </w:rPr>
              <w:t>1</w:t>
            </w:r>
          </w:p>
        </w:tc>
        <w:tc>
          <w:tcPr>
            <w:tcW w:w="0" w:type="auto"/>
          </w:tcPr>
          <w:p w14:paraId="01DD86B0" w14:textId="77777777" w:rsidR="003327CE" w:rsidRPr="00265A49" w:rsidRDefault="003327CE" w:rsidP="00265A49">
            <w:pPr>
              <w:pStyle w:val="Body"/>
              <w:pBdr>
                <w:top w:val="none" w:sz="0" w:space="0" w:color="auto"/>
                <w:left w:val="none" w:sz="0" w:space="0" w:color="auto"/>
                <w:bottom w:val="none" w:sz="0" w:space="0" w:color="auto"/>
                <w:right w:val="none" w:sz="0" w:space="0" w:color="auto"/>
                <w:bar w:val="none" w:sz="0" w:color="auto"/>
              </w:pBdr>
              <w:spacing w:before="0"/>
              <w:jc w:val="right"/>
              <w:rPr>
                <w:rFonts w:hAnsi="Arial" w:cs="Arial"/>
                <w:b/>
                <w:bCs/>
                <w:iCs/>
                <w:sz w:val="20"/>
                <w:szCs w:val="20"/>
                <w:lang w:val="en-GB"/>
              </w:rPr>
            </w:pPr>
            <w:r w:rsidRPr="00265A49">
              <w:rPr>
                <w:rFonts w:hAnsi="Arial" w:cs="Arial"/>
                <w:sz w:val="20"/>
                <w:szCs w:val="20"/>
                <w:lang w:val="en-GB"/>
              </w:rPr>
              <w:t>.0</w:t>
            </w:r>
          </w:p>
        </w:tc>
        <w:tc>
          <w:tcPr>
            <w:tcW w:w="0" w:type="auto"/>
          </w:tcPr>
          <w:p w14:paraId="2A84CF34" w14:textId="77777777" w:rsidR="003327CE" w:rsidRPr="00265A49" w:rsidRDefault="003327CE" w:rsidP="00265A49">
            <w:pPr>
              <w:pStyle w:val="Body"/>
              <w:pBdr>
                <w:top w:val="none" w:sz="0" w:space="0" w:color="auto"/>
                <w:left w:val="none" w:sz="0" w:space="0" w:color="auto"/>
                <w:bottom w:val="none" w:sz="0" w:space="0" w:color="auto"/>
                <w:right w:val="none" w:sz="0" w:space="0" w:color="auto"/>
                <w:bar w:val="none" w:sz="0" w:color="auto"/>
              </w:pBdr>
              <w:spacing w:before="0"/>
              <w:jc w:val="right"/>
              <w:rPr>
                <w:rFonts w:hAnsi="Arial" w:cs="Arial"/>
                <w:b/>
                <w:bCs/>
                <w:iCs/>
                <w:sz w:val="20"/>
                <w:szCs w:val="20"/>
                <w:lang w:val="en-GB"/>
              </w:rPr>
            </w:pPr>
            <w:r w:rsidRPr="00265A49">
              <w:rPr>
                <w:rFonts w:hAnsi="Arial" w:cs="Arial"/>
                <w:sz w:val="20"/>
                <w:szCs w:val="20"/>
                <w:lang w:val="en-GB"/>
              </w:rPr>
              <w:t>0</w:t>
            </w:r>
          </w:p>
        </w:tc>
        <w:tc>
          <w:tcPr>
            <w:tcW w:w="0" w:type="auto"/>
          </w:tcPr>
          <w:p w14:paraId="440DB963" w14:textId="77777777" w:rsidR="003327CE" w:rsidRPr="00265A49" w:rsidRDefault="003327CE" w:rsidP="00265A49">
            <w:pPr>
              <w:pStyle w:val="Body"/>
              <w:pBdr>
                <w:top w:val="none" w:sz="0" w:space="0" w:color="auto"/>
                <w:left w:val="none" w:sz="0" w:space="0" w:color="auto"/>
                <w:bottom w:val="none" w:sz="0" w:space="0" w:color="auto"/>
                <w:right w:val="none" w:sz="0" w:space="0" w:color="auto"/>
                <w:bar w:val="none" w:sz="0" w:color="auto"/>
              </w:pBdr>
              <w:spacing w:before="0"/>
              <w:jc w:val="right"/>
              <w:rPr>
                <w:rFonts w:hAnsi="Arial" w:cs="Arial"/>
                <w:b/>
                <w:bCs/>
                <w:iCs/>
                <w:sz w:val="20"/>
                <w:szCs w:val="20"/>
                <w:lang w:val="en-GB"/>
              </w:rPr>
            </w:pPr>
            <w:r w:rsidRPr="00265A49">
              <w:rPr>
                <w:rFonts w:hAnsi="Arial" w:cs="Arial"/>
                <w:sz w:val="20"/>
                <w:szCs w:val="20"/>
                <w:lang w:val="en-GB"/>
              </w:rPr>
              <w:t>0.0</w:t>
            </w:r>
          </w:p>
        </w:tc>
      </w:tr>
      <w:tr w:rsidR="003327CE" w:rsidRPr="00265A49" w14:paraId="51EDCA60" w14:textId="77777777" w:rsidTr="00265A49">
        <w:trPr>
          <w:trHeight w:val="194"/>
        </w:trPr>
        <w:tc>
          <w:tcPr>
            <w:tcW w:w="0" w:type="auto"/>
          </w:tcPr>
          <w:p w14:paraId="2689F047" w14:textId="77777777" w:rsidR="003327CE" w:rsidRPr="00265A49" w:rsidRDefault="003327CE" w:rsidP="00E7110E">
            <w:pPr>
              <w:pStyle w:val="Body"/>
              <w:pBdr>
                <w:top w:val="none" w:sz="0" w:space="0" w:color="auto"/>
                <w:left w:val="none" w:sz="0" w:space="0" w:color="auto"/>
                <w:bottom w:val="none" w:sz="0" w:space="0" w:color="auto"/>
                <w:right w:val="none" w:sz="0" w:space="0" w:color="auto"/>
                <w:bar w:val="none" w:sz="0" w:color="auto"/>
              </w:pBdr>
              <w:spacing w:before="0"/>
              <w:rPr>
                <w:rFonts w:hAnsi="Arial" w:cs="Arial"/>
                <w:sz w:val="20"/>
                <w:szCs w:val="20"/>
                <w:lang w:val="en-GB"/>
              </w:rPr>
            </w:pPr>
            <w:r w:rsidRPr="00265A49">
              <w:rPr>
                <w:rFonts w:hAnsi="Arial" w:cs="Arial"/>
                <w:sz w:val="20"/>
                <w:szCs w:val="20"/>
                <w:lang w:val="en-GB"/>
              </w:rPr>
              <w:t>Retired</w:t>
            </w:r>
          </w:p>
        </w:tc>
        <w:tc>
          <w:tcPr>
            <w:tcW w:w="0" w:type="auto"/>
          </w:tcPr>
          <w:p w14:paraId="14D3A492" w14:textId="77777777" w:rsidR="003327CE" w:rsidRPr="00265A49" w:rsidRDefault="003327CE" w:rsidP="00265A49">
            <w:pPr>
              <w:pStyle w:val="Body"/>
              <w:pBdr>
                <w:top w:val="none" w:sz="0" w:space="0" w:color="auto"/>
                <w:left w:val="none" w:sz="0" w:space="0" w:color="auto"/>
                <w:bottom w:val="none" w:sz="0" w:space="0" w:color="auto"/>
                <w:right w:val="none" w:sz="0" w:space="0" w:color="auto"/>
                <w:bar w:val="none" w:sz="0" w:color="auto"/>
              </w:pBdr>
              <w:spacing w:before="0"/>
              <w:jc w:val="right"/>
              <w:rPr>
                <w:rFonts w:hAnsi="Arial" w:cs="Arial"/>
                <w:b/>
                <w:bCs/>
                <w:iCs/>
                <w:sz w:val="20"/>
                <w:szCs w:val="20"/>
                <w:lang w:val="en-GB"/>
              </w:rPr>
            </w:pPr>
            <w:r w:rsidRPr="00265A49">
              <w:rPr>
                <w:rFonts w:hAnsi="Arial" w:cs="Arial"/>
                <w:sz w:val="20"/>
                <w:szCs w:val="20"/>
                <w:lang w:val="en-GB"/>
              </w:rPr>
              <w:t>0</w:t>
            </w:r>
          </w:p>
        </w:tc>
        <w:tc>
          <w:tcPr>
            <w:tcW w:w="0" w:type="auto"/>
          </w:tcPr>
          <w:p w14:paraId="165D212D" w14:textId="77777777" w:rsidR="003327CE" w:rsidRPr="00265A49" w:rsidRDefault="003327CE" w:rsidP="00265A49">
            <w:pPr>
              <w:pStyle w:val="Body"/>
              <w:pBdr>
                <w:top w:val="none" w:sz="0" w:space="0" w:color="auto"/>
                <w:left w:val="none" w:sz="0" w:space="0" w:color="auto"/>
                <w:bottom w:val="none" w:sz="0" w:space="0" w:color="auto"/>
                <w:right w:val="none" w:sz="0" w:space="0" w:color="auto"/>
                <w:bar w:val="none" w:sz="0" w:color="auto"/>
              </w:pBdr>
              <w:spacing w:before="0"/>
              <w:jc w:val="right"/>
              <w:rPr>
                <w:rFonts w:hAnsi="Arial" w:cs="Arial"/>
                <w:b/>
                <w:bCs/>
                <w:iCs/>
                <w:sz w:val="20"/>
                <w:szCs w:val="20"/>
                <w:lang w:val="en-GB"/>
              </w:rPr>
            </w:pPr>
            <w:r w:rsidRPr="00265A49">
              <w:rPr>
                <w:rFonts w:hAnsi="Arial" w:cs="Arial"/>
                <w:sz w:val="20"/>
                <w:szCs w:val="20"/>
                <w:lang w:val="en-GB"/>
              </w:rPr>
              <w:t>0.0</w:t>
            </w:r>
          </w:p>
        </w:tc>
        <w:tc>
          <w:tcPr>
            <w:tcW w:w="0" w:type="auto"/>
          </w:tcPr>
          <w:p w14:paraId="0DCE6E4D" w14:textId="77777777" w:rsidR="003327CE" w:rsidRPr="00265A49" w:rsidRDefault="003327CE" w:rsidP="00265A49">
            <w:pPr>
              <w:pStyle w:val="Body"/>
              <w:pBdr>
                <w:top w:val="none" w:sz="0" w:space="0" w:color="auto"/>
                <w:left w:val="none" w:sz="0" w:space="0" w:color="auto"/>
                <w:bottom w:val="none" w:sz="0" w:space="0" w:color="auto"/>
                <w:right w:val="none" w:sz="0" w:space="0" w:color="auto"/>
                <w:bar w:val="none" w:sz="0" w:color="auto"/>
              </w:pBdr>
              <w:spacing w:before="0"/>
              <w:jc w:val="right"/>
              <w:rPr>
                <w:rFonts w:hAnsi="Arial" w:cs="Arial"/>
                <w:b/>
                <w:bCs/>
                <w:iCs/>
                <w:sz w:val="20"/>
                <w:szCs w:val="20"/>
                <w:lang w:val="en-GB"/>
              </w:rPr>
            </w:pPr>
            <w:r w:rsidRPr="00265A49">
              <w:rPr>
                <w:rFonts w:hAnsi="Arial" w:cs="Arial"/>
                <w:sz w:val="20"/>
                <w:szCs w:val="20"/>
                <w:lang w:val="en-GB"/>
              </w:rPr>
              <w:t>196</w:t>
            </w:r>
          </w:p>
        </w:tc>
        <w:tc>
          <w:tcPr>
            <w:tcW w:w="0" w:type="auto"/>
          </w:tcPr>
          <w:p w14:paraId="436A473B" w14:textId="77777777" w:rsidR="003327CE" w:rsidRPr="00265A49" w:rsidRDefault="003327CE" w:rsidP="00265A49">
            <w:pPr>
              <w:pStyle w:val="Body"/>
              <w:pBdr>
                <w:top w:val="none" w:sz="0" w:space="0" w:color="auto"/>
                <w:left w:val="none" w:sz="0" w:space="0" w:color="auto"/>
                <w:bottom w:val="none" w:sz="0" w:space="0" w:color="auto"/>
                <w:right w:val="none" w:sz="0" w:space="0" w:color="auto"/>
                <w:bar w:val="none" w:sz="0" w:color="auto"/>
              </w:pBdr>
              <w:spacing w:before="0"/>
              <w:jc w:val="right"/>
              <w:rPr>
                <w:rFonts w:hAnsi="Arial" w:cs="Arial"/>
                <w:b/>
                <w:bCs/>
                <w:iCs/>
                <w:sz w:val="20"/>
                <w:szCs w:val="20"/>
                <w:lang w:val="en-GB"/>
              </w:rPr>
            </w:pPr>
            <w:r w:rsidRPr="00265A49">
              <w:rPr>
                <w:rFonts w:hAnsi="Arial" w:cs="Arial"/>
                <w:sz w:val="20"/>
                <w:szCs w:val="20"/>
                <w:lang w:val="en-GB"/>
              </w:rPr>
              <w:t>3.8</w:t>
            </w:r>
          </w:p>
        </w:tc>
        <w:tc>
          <w:tcPr>
            <w:tcW w:w="0" w:type="auto"/>
          </w:tcPr>
          <w:p w14:paraId="5F3B724E" w14:textId="77777777" w:rsidR="003327CE" w:rsidRPr="00265A49" w:rsidRDefault="003327CE" w:rsidP="00265A49">
            <w:pPr>
              <w:pStyle w:val="Body"/>
              <w:pBdr>
                <w:top w:val="none" w:sz="0" w:space="0" w:color="auto"/>
                <w:left w:val="none" w:sz="0" w:space="0" w:color="auto"/>
                <w:bottom w:val="none" w:sz="0" w:space="0" w:color="auto"/>
                <w:right w:val="none" w:sz="0" w:space="0" w:color="auto"/>
                <w:bar w:val="none" w:sz="0" w:color="auto"/>
              </w:pBdr>
              <w:spacing w:before="0"/>
              <w:jc w:val="right"/>
              <w:rPr>
                <w:rFonts w:hAnsi="Arial" w:cs="Arial"/>
                <w:b/>
                <w:bCs/>
                <w:iCs/>
                <w:sz w:val="20"/>
                <w:szCs w:val="20"/>
                <w:lang w:val="en-GB"/>
              </w:rPr>
            </w:pPr>
            <w:r w:rsidRPr="00265A49">
              <w:rPr>
                <w:rFonts w:hAnsi="Arial" w:cs="Arial"/>
                <w:sz w:val="20"/>
                <w:szCs w:val="20"/>
                <w:lang w:val="en-GB"/>
              </w:rPr>
              <w:t>3235</w:t>
            </w:r>
          </w:p>
        </w:tc>
        <w:tc>
          <w:tcPr>
            <w:tcW w:w="0" w:type="auto"/>
          </w:tcPr>
          <w:p w14:paraId="069D0C4E" w14:textId="77777777" w:rsidR="003327CE" w:rsidRPr="00265A49" w:rsidRDefault="003327CE" w:rsidP="00265A49">
            <w:pPr>
              <w:pStyle w:val="Body"/>
              <w:pBdr>
                <w:top w:val="none" w:sz="0" w:space="0" w:color="auto"/>
                <w:left w:val="none" w:sz="0" w:space="0" w:color="auto"/>
                <w:bottom w:val="none" w:sz="0" w:space="0" w:color="auto"/>
                <w:right w:val="none" w:sz="0" w:space="0" w:color="auto"/>
                <w:bar w:val="none" w:sz="0" w:color="auto"/>
              </w:pBdr>
              <w:spacing w:before="0"/>
              <w:jc w:val="right"/>
              <w:rPr>
                <w:rFonts w:hAnsi="Arial" w:cs="Arial"/>
                <w:b/>
                <w:bCs/>
                <w:iCs/>
                <w:sz w:val="20"/>
                <w:szCs w:val="20"/>
                <w:lang w:val="en-GB"/>
              </w:rPr>
            </w:pPr>
            <w:r w:rsidRPr="00265A49">
              <w:rPr>
                <w:rFonts w:hAnsi="Arial" w:cs="Arial"/>
                <w:sz w:val="20"/>
                <w:szCs w:val="20"/>
                <w:lang w:val="en-GB"/>
              </w:rPr>
              <w:t>61.3</w:t>
            </w:r>
          </w:p>
        </w:tc>
      </w:tr>
      <w:tr w:rsidR="003327CE" w:rsidRPr="00265A49" w14:paraId="58E277BB" w14:textId="77777777" w:rsidTr="00265A49">
        <w:trPr>
          <w:trHeight w:val="194"/>
        </w:trPr>
        <w:tc>
          <w:tcPr>
            <w:tcW w:w="0" w:type="auto"/>
          </w:tcPr>
          <w:p w14:paraId="2A79AE00" w14:textId="77777777" w:rsidR="003327CE" w:rsidRPr="00265A49" w:rsidRDefault="003327CE" w:rsidP="00E7110E">
            <w:pPr>
              <w:rPr>
                <w:sz w:val="20"/>
                <w:szCs w:val="20"/>
              </w:rPr>
            </w:pPr>
            <w:r w:rsidRPr="00265A49">
              <w:rPr>
                <w:sz w:val="20"/>
                <w:szCs w:val="20"/>
              </w:rPr>
              <w:t>Cannot work due to illness/disability</w:t>
            </w:r>
          </w:p>
        </w:tc>
        <w:tc>
          <w:tcPr>
            <w:tcW w:w="0" w:type="auto"/>
          </w:tcPr>
          <w:p w14:paraId="191509C6" w14:textId="77777777" w:rsidR="003327CE" w:rsidRPr="00265A49" w:rsidRDefault="003327CE" w:rsidP="00265A49">
            <w:pPr>
              <w:pStyle w:val="Body"/>
              <w:pBdr>
                <w:top w:val="none" w:sz="0" w:space="0" w:color="auto"/>
                <w:left w:val="none" w:sz="0" w:space="0" w:color="auto"/>
                <w:bottom w:val="none" w:sz="0" w:space="0" w:color="auto"/>
                <w:right w:val="none" w:sz="0" w:space="0" w:color="auto"/>
                <w:bar w:val="none" w:sz="0" w:color="auto"/>
              </w:pBdr>
              <w:spacing w:before="0"/>
              <w:jc w:val="right"/>
              <w:rPr>
                <w:rFonts w:hAnsi="Arial" w:cs="Arial"/>
                <w:b/>
                <w:bCs/>
                <w:iCs/>
                <w:sz w:val="20"/>
                <w:szCs w:val="20"/>
                <w:lang w:val="en-GB"/>
              </w:rPr>
            </w:pPr>
            <w:r w:rsidRPr="00265A49">
              <w:rPr>
                <w:rFonts w:hAnsi="Arial" w:cs="Arial"/>
                <w:sz w:val="20"/>
                <w:szCs w:val="20"/>
                <w:lang w:val="en-GB"/>
              </w:rPr>
              <w:t>902</w:t>
            </w:r>
          </w:p>
        </w:tc>
        <w:tc>
          <w:tcPr>
            <w:tcW w:w="0" w:type="auto"/>
          </w:tcPr>
          <w:p w14:paraId="5724A740" w14:textId="77777777" w:rsidR="003327CE" w:rsidRPr="00265A49" w:rsidRDefault="003327CE" w:rsidP="00265A49">
            <w:pPr>
              <w:pStyle w:val="Body"/>
              <w:pBdr>
                <w:top w:val="none" w:sz="0" w:space="0" w:color="auto"/>
                <w:left w:val="none" w:sz="0" w:space="0" w:color="auto"/>
                <w:bottom w:val="none" w:sz="0" w:space="0" w:color="auto"/>
                <w:right w:val="none" w:sz="0" w:space="0" w:color="auto"/>
                <w:bar w:val="none" w:sz="0" w:color="auto"/>
              </w:pBdr>
              <w:spacing w:before="0"/>
              <w:jc w:val="right"/>
              <w:rPr>
                <w:rFonts w:hAnsi="Arial" w:cs="Arial"/>
                <w:b/>
                <w:bCs/>
                <w:iCs/>
                <w:sz w:val="20"/>
                <w:szCs w:val="20"/>
                <w:lang w:val="en-GB"/>
              </w:rPr>
            </w:pPr>
            <w:r w:rsidRPr="00265A49">
              <w:rPr>
                <w:rFonts w:hAnsi="Arial" w:cs="Arial"/>
                <w:sz w:val="20"/>
                <w:szCs w:val="20"/>
                <w:lang w:val="en-GB"/>
              </w:rPr>
              <w:t>31.9</w:t>
            </w:r>
          </w:p>
        </w:tc>
        <w:tc>
          <w:tcPr>
            <w:tcW w:w="0" w:type="auto"/>
          </w:tcPr>
          <w:p w14:paraId="3431368A" w14:textId="77777777" w:rsidR="003327CE" w:rsidRPr="00265A49" w:rsidRDefault="003327CE" w:rsidP="00265A49">
            <w:pPr>
              <w:pStyle w:val="Body"/>
              <w:pBdr>
                <w:top w:val="none" w:sz="0" w:space="0" w:color="auto"/>
                <w:left w:val="none" w:sz="0" w:space="0" w:color="auto"/>
                <w:bottom w:val="none" w:sz="0" w:space="0" w:color="auto"/>
                <w:right w:val="none" w:sz="0" w:space="0" w:color="auto"/>
                <w:bar w:val="none" w:sz="0" w:color="auto"/>
              </w:pBdr>
              <w:spacing w:before="0"/>
              <w:jc w:val="right"/>
              <w:rPr>
                <w:rFonts w:hAnsi="Arial" w:cs="Arial"/>
                <w:b/>
                <w:bCs/>
                <w:iCs/>
                <w:sz w:val="20"/>
                <w:szCs w:val="20"/>
                <w:lang w:val="en-GB"/>
              </w:rPr>
            </w:pPr>
            <w:r w:rsidRPr="00265A49">
              <w:rPr>
                <w:rFonts w:hAnsi="Arial" w:cs="Arial"/>
                <w:sz w:val="20"/>
                <w:szCs w:val="20"/>
                <w:lang w:val="en-GB"/>
              </w:rPr>
              <w:t>1750</w:t>
            </w:r>
          </w:p>
        </w:tc>
        <w:tc>
          <w:tcPr>
            <w:tcW w:w="0" w:type="auto"/>
          </w:tcPr>
          <w:p w14:paraId="5F062260" w14:textId="77777777" w:rsidR="003327CE" w:rsidRPr="00265A49" w:rsidRDefault="003327CE" w:rsidP="00265A49">
            <w:pPr>
              <w:pStyle w:val="Body"/>
              <w:pBdr>
                <w:top w:val="none" w:sz="0" w:space="0" w:color="auto"/>
                <w:left w:val="none" w:sz="0" w:space="0" w:color="auto"/>
                <w:bottom w:val="none" w:sz="0" w:space="0" w:color="auto"/>
                <w:right w:val="none" w:sz="0" w:space="0" w:color="auto"/>
                <w:bar w:val="none" w:sz="0" w:color="auto"/>
              </w:pBdr>
              <w:spacing w:before="0"/>
              <w:jc w:val="right"/>
              <w:rPr>
                <w:rFonts w:hAnsi="Arial" w:cs="Arial"/>
                <w:b/>
                <w:bCs/>
                <w:iCs/>
                <w:sz w:val="20"/>
                <w:szCs w:val="20"/>
                <w:lang w:val="en-GB"/>
              </w:rPr>
            </w:pPr>
            <w:r w:rsidRPr="00265A49">
              <w:rPr>
                <w:rFonts w:hAnsi="Arial" w:cs="Arial"/>
                <w:sz w:val="20"/>
                <w:szCs w:val="20"/>
                <w:lang w:val="en-GB"/>
              </w:rPr>
              <w:t>34.2</w:t>
            </w:r>
          </w:p>
        </w:tc>
        <w:tc>
          <w:tcPr>
            <w:tcW w:w="0" w:type="auto"/>
          </w:tcPr>
          <w:p w14:paraId="09619957" w14:textId="77777777" w:rsidR="003327CE" w:rsidRPr="00265A49" w:rsidRDefault="003327CE" w:rsidP="00265A49">
            <w:pPr>
              <w:pStyle w:val="Body"/>
              <w:pBdr>
                <w:top w:val="none" w:sz="0" w:space="0" w:color="auto"/>
                <w:left w:val="none" w:sz="0" w:space="0" w:color="auto"/>
                <w:bottom w:val="none" w:sz="0" w:space="0" w:color="auto"/>
                <w:right w:val="none" w:sz="0" w:space="0" w:color="auto"/>
                <w:bar w:val="none" w:sz="0" w:color="auto"/>
              </w:pBdr>
              <w:spacing w:before="0"/>
              <w:jc w:val="right"/>
              <w:rPr>
                <w:rFonts w:hAnsi="Arial" w:cs="Arial"/>
                <w:b/>
                <w:bCs/>
                <w:iCs/>
                <w:sz w:val="20"/>
                <w:szCs w:val="20"/>
                <w:lang w:val="en-GB"/>
              </w:rPr>
            </w:pPr>
            <w:r w:rsidRPr="00265A49">
              <w:rPr>
                <w:rFonts w:hAnsi="Arial" w:cs="Arial"/>
                <w:sz w:val="20"/>
                <w:szCs w:val="20"/>
                <w:lang w:val="en-GB"/>
              </w:rPr>
              <w:t>1</w:t>
            </w:r>
          </w:p>
        </w:tc>
        <w:tc>
          <w:tcPr>
            <w:tcW w:w="0" w:type="auto"/>
          </w:tcPr>
          <w:p w14:paraId="004457A1" w14:textId="77777777" w:rsidR="003327CE" w:rsidRPr="00265A49" w:rsidRDefault="003327CE" w:rsidP="00265A49">
            <w:pPr>
              <w:pStyle w:val="Body"/>
              <w:pBdr>
                <w:top w:val="none" w:sz="0" w:space="0" w:color="auto"/>
                <w:left w:val="none" w:sz="0" w:space="0" w:color="auto"/>
                <w:bottom w:val="none" w:sz="0" w:space="0" w:color="auto"/>
                <w:right w:val="none" w:sz="0" w:space="0" w:color="auto"/>
                <w:bar w:val="none" w:sz="0" w:color="auto"/>
              </w:pBdr>
              <w:spacing w:before="0"/>
              <w:jc w:val="right"/>
              <w:rPr>
                <w:rFonts w:hAnsi="Arial" w:cs="Arial"/>
                <w:b/>
                <w:bCs/>
                <w:iCs/>
                <w:sz w:val="20"/>
                <w:szCs w:val="20"/>
                <w:lang w:val="en-GB"/>
              </w:rPr>
            </w:pPr>
            <w:r w:rsidRPr="00265A49">
              <w:rPr>
                <w:rFonts w:hAnsi="Arial" w:cs="Arial"/>
                <w:sz w:val="20"/>
                <w:szCs w:val="20"/>
                <w:lang w:val="en-GB"/>
              </w:rPr>
              <w:t>.0</w:t>
            </w:r>
          </w:p>
        </w:tc>
      </w:tr>
      <w:tr w:rsidR="003327CE" w:rsidRPr="00265A49" w14:paraId="43D9600C" w14:textId="77777777" w:rsidTr="00265A49">
        <w:trPr>
          <w:trHeight w:val="194"/>
        </w:trPr>
        <w:tc>
          <w:tcPr>
            <w:tcW w:w="0" w:type="auto"/>
          </w:tcPr>
          <w:p w14:paraId="03181C47" w14:textId="77777777" w:rsidR="003327CE" w:rsidRPr="00265A49" w:rsidRDefault="003327CE" w:rsidP="00E7110E">
            <w:pPr>
              <w:rPr>
                <w:sz w:val="20"/>
                <w:szCs w:val="20"/>
              </w:rPr>
            </w:pPr>
            <w:r w:rsidRPr="00265A49">
              <w:rPr>
                <w:sz w:val="20"/>
                <w:szCs w:val="20"/>
              </w:rPr>
              <w:t>Taking care of house and/or family</w:t>
            </w:r>
          </w:p>
        </w:tc>
        <w:tc>
          <w:tcPr>
            <w:tcW w:w="0" w:type="auto"/>
          </w:tcPr>
          <w:p w14:paraId="4F017B67" w14:textId="77777777" w:rsidR="003327CE" w:rsidRPr="00265A49" w:rsidRDefault="003327CE" w:rsidP="00265A49">
            <w:pPr>
              <w:pStyle w:val="Body"/>
              <w:pBdr>
                <w:top w:val="none" w:sz="0" w:space="0" w:color="auto"/>
                <w:left w:val="none" w:sz="0" w:space="0" w:color="auto"/>
                <w:bottom w:val="none" w:sz="0" w:space="0" w:color="auto"/>
                <w:right w:val="none" w:sz="0" w:space="0" w:color="auto"/>
                <w:bar w:val="none" w:sz="0" w:color="auto"/>
              </w:pBdr>
              <w:spacing w:before="0"/>
              <w:jc w:val="right"/>
              <w:rPr>
                <w:rFonts w:hAnsi="Arial" w:cs="Arial"/>
                <w:b/>
                <w:bCs/>
                <w:iCs/>
                <w:sz w:val="20"/>
                <w:szCs w:val="20"/>
                <w:lang w:val="en-GB"/>
              </w:rPr>
            </w:pPr>
            <w:r w:rsidRPr="00265A49">
              <w:rPr>
                <w:rFonts w:hAnsi="Arial" w:cs="Arial"/>
                <w:sz w:val="20"/>
                <w:szCs w:val="20"/>
                <w:lang w:val="en-GB"/>
              </w:rPr>
              <w:t>545</w:t>
            </w:r>
          </w:p>
        </w:tc>
        <w:tc>
          <w:tcPr>
            <w:tcW w:w="0" w:type="auto"/>
          </w:tcPr>
          <w:p w14:paraId="06E7ED53" w14:textId="77777777" w:rsidR="003327CE" w:rsidRPr="00265A49" w:rsidRDefault="003327CE" w:rsidP="00265A49">
            <w:pPr>
              <w:pStyle w:val="Body"/>
              <w:pBdr>
                <w:top w:val="none" w:sz="0" w:space="0" w:color="auto"/>
                <w:left w:val="none" w:sz="0" w:space="0" w:color="auto"/>
                <w:bottom w:val="none" w:sz="0" w:space="0" w:color="auto"/>
                <w:right w:val="none" w:sz="0" w:space="0" w:color="auto"/>
                <w:bar w:val="none" w:sz="0" w:color="auto"/>
              </w:pBdr>
              <w:spacing w:before="0"/>
              <w:jc w:val="right"/>
              <w:rPr>
                <w:rFonts w:hAnsi="Arial" w:cs="Arial"/>
                <w:b/>
                <w:bCs/>
                <w:iCs/>
                <w:sz w:val="20"/>
                <w:szCs w:val="20"/>
                <w:lang w:val="en-GB"/>
              </w:rPr>
            </w:pPr>
            <w:r w:rsidRPr="00265A49">
              <w:rPr>
                <w:rFonts w:hAnsi="Arial" w:cs="Arial"/>
                <w:sz w:val="20"/>
                <w:szCs w:val="20"/>
                <w:lang w:val="en-GB"/>
              </w:rPr>
              <w:t>19.3</w:t>
            </w:r>
          </w:p>
        </w:tc>
        <w:tc>
          <w:tcPr>
            <w:tcW w:w="0" w:type="auto"/>
          </w:tcPr>
          <w:p w14:paraId="0A883789" w14:textId="77777777" w:rsidR="003327CE" w:rsidRPr="00265A49" w:rsidRDefault="003327CE" w:rsidP="00265A49">
            <w:pPr>
              <w:pStyle w:val="Body"/>
              <w:pBdr>
                <w:top w:val="none" w:sz="0" w:space="0" w:color="auto"/>
                <w:left w:val="none" w:sz="0" w:space="0" w:color="auto"/>
                <w:bottom w:val="none" w:sz="0" w:space="0" w:color="auto"/>
                <w:right w:val="none" w:sz="0" w:space="0" w:color="auto"/>
                <w:bar w:val="none" w:sz="0" w:color="auto"/>
              </w:pBdr>
              <w:spacing w:before="0"/>
              <w:jc w:val="right"/>
              <w:rPr>
                <w:rFonts w:hAnsi="Arial" w:cs="Arial"/>
                <w:b/>
                <w:bCs/>
                <w:iCs/>
                <w:sz w:val="20"/>
                <w:szCs w:val="20"/>
                <w:lang w:val="en-GB"/>
              </w:rPr>
            </w:pPr>
            <w:r w:rsidRPr="00265A49">
              <w:rPr>
                <w:rFonts w:hAnsi="Arial" w:cs="Arial"/>
                <w:sz w:val="20"/>
                <w:szCs w:val="20"/>
                <w:lang w:val="en-GB"/>
              </w:rPr>
              <w:t>1341</w:t>
            </w:r>
          </w:p>
        </w:tc>
        <w:tc>
          <w:tcPr>
            <w:tcW w:w="0" w:type="auto"/>
          </w:tcPr>
          <w:p w14:paraId="26C746F5" w14:textId="77777777" w:rsidR="003327CE" w:rsidRPr="00265A49" w:rsidRDefault="003327CE" w:rsidP="00265A49">
            <w:pPr>
              <w:pStyle w:val="Body"/>
              <w:pBdr>
                <w:top w:val="none" w:sz="0" w:space="0" w:color="auto"/>
                <w:left w:val="none" w:sz="0" w:space="0" w:color="auto"/>
                <w:bottom w:val="none" w:sz="0" w:space="0" w:color="auto"/>
                <w:right w:val="none" w:sz="0" w:space="0" w:color="auto"/>
                <w:bar w:val="none" w:sz="0" w:color="auto"/>
              </w:pBdr>
              <w:spacing w:before="0"/>
              <w:jc w:val="right"/>
              <w:rPr>
                <w:rFonts w:hAnsi="Arial" w:cs="Arial"/>
                <w:b/>
                <w:bCs/>
                <w:iCs/>
                <w:sz w:val="20"/>
                <w:szCs w:val="20"/>
                <w:lang w:val="en-GB"/>
              </w:rPr>
            </w:pPr>
            <w:r w:rsidRPr="00265A49">
              <w:rPr>
                <w:rFonts w:hAnsi="Arial" w:cs="Arial"/>
                <w:sz w:val="20"/>
                <w:szCs w:val="20"/>
                <w:lang w:val="en-GB"/>
              </w:rPr>
              <w:t>26.2</w:t>
            </w:r>
          </w:p>
        </w:tc>
        <w:tc>
          <w:tcPr>
            <w:tcW w:w="0" w:type="auto"/>
          </w:tcPr>
          <w:p w14:paraId="45F9E3B8" w14:textId="77777777" w:rsidR="003327CE" w:rsidRPr="00265A49" w:rsidRDefault="003327CE" w:rsidP="00265A49">
            <w:pPr>
              <w:pStyle w:val="Body"/>
              <w:pBdr>
                <w:top w:val="none" w:sz="0" w:space="0" w:color="auto"/>
                <w:left w:val="none" w:sz="0" w:space="0" w:color="auto"/>
                <w:bottom w:val="none" w:sz="0" w:space="0" w:color="auto"/>
                <w:right w:val="none" w:sz="0" w:space="0" w:color="auto"/>
                <w:bar w:val="none" w:sz="0" w:color="auto"/>
              </w:pBdr>
              <w:spacing w:before="0"/>
              <w:jc w:val="right"/>
              <w:rPr>
                <w:rFonts w:hAnsi="Arial" w:cs="Arial"/>
                <w:b/>
                <w:bCs/>
                <w:iCs/>
                <w:sz w:val="20"/>
                <w:szCs w:val="20"/>
                <w:lang w:val="en-GB"/>
              </w:rPr>
            </w:pPr>
            <w:r w:rsidRPr="00265A49">
              <w:rPr>
                <w:rFonts w:hAnsi="Arial" w:cs="Arial"/>
                <w:sz w:val="20"/>
                <w:szCs w:val="20"/>
                <w:lang w:val="en-GB"/>
              </w:rPr>
              <w:t>1589</w:t>
            </w:r>
          </w:p>
        </w:tc>
        <w:tc>
          <w:tcPr>
            <w:tcW w:w="0" w:type="auto"/>
          </w:tcPr>
          <w:p w14:paraId="1EA1E4F5" w14:textId="77777777" w:rsidR="003327CE" w:rsidRPr="00265A49" w:rsidRDefault="003327CE" w:rsidP="00265A49">
            <w:pPr>
              <w:pStyle w:val="Body"/>
              <w:pBdr>
                <w:top w:val="none" w:sz="0" w:space="0" w:color="auto"/>
                <w:left w:val="none" w:sz="0" w:space="0" w:color="auto"/>
                <w:bottom w:val="none" w:sz="0" w:space="0" w:color="auto"/>
                <w:right w:val="none" w:sz="0" w:space="0" w:color="auto"/>
                <w:bar w:val="none" w:sz="0" w:color="auto"/>
              </w:pBdr>
              <w:spacing w:before="0"/>
              <w:jc w:val="right"/>
              <w:rPr>
                <w:rFonts w:hAnsi="Arial" w:cs="Arial"/>
                <w:b/>
                <w:bCs/>
                <w:iCs/>
                <w:sz w:val="20"/>
                <w:szCs w:val="20"/>
                <w:lang w:val="en-GB"/>
              </w:rPr>
            </w:pPr>
            <w:r w:rsidRPr="00265A49">
              <w:rPr>
                <w:rFonts w:hAnsi="Arial" w:cs="Arial"/>
                <w:sz w:val="20"/>
                <w:szCs w:val="20"/>
                <w:lang w:val="en-GB"/>
              </w:rPr>
              <w:t>30.1</w:t>
            </w:r>
          </w:p>
        </w:tc>
      </w:tr>
      <w:tr w:rsidR="003327CE" w:rsidRPr="00265A49" w14:paraId="2A044D69" w14:textId="77777777" w:rsidTr="00265A49">
        <w:trPr>
          <w:trHeight w:val="194"/>
        </w:trPr>
        <w:tc>
          <w:tcPr>
            <w:tcW w:w="0" w:type="auto"/>
          </w:tcPr>
          <w:p w14:paraId="05468C6C" w14:textId="77777777" w:rsidR="003327CE" w:rsidRPr="00265A49" w:rsidRDefault="003327CE" w:rsidP="00E7110E">
            <w:pPr>
              <w:pStyle w:val="Body"/>
              <w:pBdr>
                <w:top w:val="none" w:sz="0" w:space="0" w:color="auto"/>
                <w:left w:val="none" w:sz="0" w:space="0" w:color="auto"/>
                <w:bottom w:val="none" w:sz="0" w:space="0" w:color="auto"/>
                <w:right w:val="none" w:sz="0" w:space="0" w:color="auto"/>
                <w:bar w:val="none" w:sz="0" w:color="auto"/>
              </w:pBdr>
              <w:spacing w:before="0"/>
              <w:rPr>
                <w:rFonts w:hAnsi="Arial" w:cs="Arial"/>
                <w:sz w:val="20"/>
                <w:szCs w:val="20"/>
                <w:lang w:val="en-GB"/>
              </w:rPr>
            </w:pPr>
            <w:r w:rsidRPr="00265A49">
              <w:rPr>
                <w:rFonts w:hAnsi="Arial" w:cs="Arial"/>
                <w:sz w:val="20"/>
                <w:szCs w:val="20"/>
                <w:lang w:val="en-GB"/>
              </w:rPr>
              <w:t>Other inactive persons</w:t>
            </w:r>
          </w:p>
        </w:tc>
        <w:tc>
          <w:tcPr>
            <w:tcW w:w="0" w:type="auto"/>
          </w:tcPr>
          <w:p w14:paraId="7E85B976" w14:textId="77777777" w:rsidR="003327CE" w:rsidRPr="00265A49" w:rsidRDefault="003327CE" w:rsidP="00265A49">
            <w:pPr>
              <w:pStyle w:val="Body"/>
              <w:pBdr>
                <w:top w:val="none" w:sz="0" w:space="0" w:color="auto"/>
                <w:left w:val="none" w:sz="0" w:space="0" w:color="auto"/>
                <w:bottom w:val="none" w:sz="0" w:space="0" w:color="auto"/>
                <w:right w:val="none" w:sz="0" w:space="0" w:color="auto"/>
                <w:bar w:val="none" w:sz="0" w:color="auto"/>
              </w:pBdr>
              <w:spacing w:before="0"/>
              <w:jc w:val="right"/>
              <w:rPr>
                <w:rFonts w:hAnsi="Arial" w:cs="Arial"/>
                <w:b/>
                <w:bCs/>
                <w:iCs/>
                <w:sz w:val="20"/>
                <w:szCs w:val="20"/>
                <w:lang w:val="en-GB"/>
              </w:rPr>
            </w:pPr>
            <w:r w:rsidRPr="00265A49">
              <w:rPr>
                <w:rFonts w:hAnsi="Arial" w:cs="Arial"/>
                <w:sz w:val="20"/>
                <w:szCs w:val="20"/>
                <w:lang w:val="en-GB"/>
              </w:rPr>
              <w:t>122</w:t>
            </w:r>
          </w:p>
        </w:tc>
        <w:tc>
          <w:tcPr>
            <w:tcW w:w="0" w:type="auto"/>
          </w:tcPr>
          <w:p w14:paraId="6B28E6D7" w14:textId="77777777" w:rsidR="003327CE" w:rsidRPr="00265A49" w:rsidRDefault="003327CE" w:rsidP="00265A49">
            <w:pPr>
              <w:pStyle w:val="Body"/>
              <w:pBdr>
                <w:top w:val="none" w:sz="0" w:space="0" w:color="auto"/>
                <w:left w:val="none" w:sz="0" w:space="0" w:color="auto"/>
                <w:bottom w:val="none" w:sz="0" w:space="0" w:color="auto"/>
                <w:right w:val="none" w:sz="0" w:space="0" w:color="auto"/>
                <w:bar w:val="none" w:sz="0" w:color="auto"/>
              </w:pBdr>
              <w:spacing w:before="0"/>
              <w:jc w:val="right"/>
              <w:rPr>
                <w:rFonts w:hAnsi="Arial" w:cs="Arial"/>
                <w:b/>
                <w:bCs/>
                <w:iCs/>
                <w:sz w:val="20"/>
                <w:szCs w:val="20"/>
                <w:lang w:val="en-GB"/>
              </w:rPr>
            </w:pPr>
            <w:r w:rsidRPr="00265A49">
              <w:rPr>
                <w:rFonts w:hAnsi="Arial" w:cs="Arial"/>
                <w:sz w:val="20"/>
                <w:szCs w:val="20"/>
                <w:lang w:val="en-GB"/>
              </w:rPr>
              <w:t>4.3</w:t>
            </w:r>
          </w:p>
        </w:tc>
        <w:tc>
          <w:tcPr>
            <w:tcW w:w="0" w:type="auto"/>
          </w:tcPr>
          <w:p w14:paraId="1B2CB36E" w14:textId="77777777" w:rsidR="003327CE" w:rsidRPr="00265A49" w:rsidRDefault="003327CE" w:rsidP="00265A49">
            <w:pPr>
              <w:pStyle w:val="Body"/>
              <w:pBdr>
                <w:top w:val="none" w:sz="0" w:space="0" w:color="auto"/>
                <w:left w:val="none" w:sz="0" w:space="0" w:color="auto"/>
                <w:bottom w:val="none" w:sz="0" w:space="0" w:color="auto"/>
                <w:right w:val="none" w:sz="0" w:space="0" w:color="auto"/>
                <w:bar w:val="none" w:sz="0" w:color="auto"/>
              </w:pBdr>
              <w:spacing w:before="0"/>
              <w:jc w:val="right"/>
              <w:rPr>
                <w:rFonts w:hAnsi="Arial" w:cs="Arial"/>
                <w:b/>
                <w:bCs/>
                <w:iCs/>
                <w:sz w:val="20"/>
                <w:szCs w:val="20"/>
                <w:lang w:val="en-GB"/>
              </w:rPr>
            </w:pPr>
            <w:r w:rsidRPr="00265A49">
              <w:rPr>
                <w:rFonts w:hAnsi="Arial" w:cs="Arial"/>
                <w:sz w:val="20"/>
                <w:szCs w:val="20"/>
                <w:lang w:val="en-GB"/>
              </w:rPr>
              <w:t>246</w:t>
            </w:r>
          </w:p>
        </w:tc>
        <w:tc>
          <w:tcPr>
            <w:tcW w:w="0" w:type="auto"/>
          </w:tcPr>
          <w:p w14:paraId="1CEC370A" w14:textId="77777777" w:rsidR="003327CE" w:rsidRPr="00265A49" w:rsidRDefault="003327CE" w:rsidP="00265A49">
            <w:pPr>
              <w:pStyle w:val="Body"/>
              <w:pBdr>
                <w:top w:val="none" w:sz="0" w:space="0" w:color="auto"/>
                <w:left w:val="none" w:sz="0" w:space="0" w:color="auto"/>
                <w:bottom w:val="none" w:sz="0" w:space="0" w:color="auto"/>
                <w:right w:val="none" w:sz="0" w:space="0" w:color="auto"/>
                <w:bar w:val="none" w:sz="0" w:color="auto"/>
              </w:pBdr>
              <w:spacing w:before="0"/>
              <w:jc w:val="right"/>
              <w:rPr>
                <w:rFonts w:hAnsi="Arial" w:cs="Arial"/>
                <w:b/>
                <w:bCs/>
                <w:iCs/>
                <w:sz w:val="20"/>
                <w:szCs w:val="20"/>
                <w:lang w:val="en-GB"/>
              </w:rPr>
            </w:pPr>
            <w:r w:rsidRPr="00265A49">
              <w:rPr>
                <w:rFonts w:hAnsi="Arial" w:cs="Arial"/>
                <w:sz w:val="20"/>
                <w:szCs w:val="20"/>
                <w:lang w:val="en-GB"/>
              </w:rPr>
              <w:t>4.8</w:t>
            </w:r>
          </w:p>
        </w:tc>
        <w:tc>
          <w:tcPr>
            <w:tcW w:w="0" w:type="auto"/>
          </w:tcPr>
          <w:p w14:paraId="2D083754" w14:textId="77777777" w:rsidR="003327CE" w:rsidRPr="00265A49" w:rsidRDefault="003327CE" w:rsidP="00265A49">
            <w:pPr>
              <w:pStyle w:val="Body"/>
              <w:pBdr>
                <w:top w:val="none" w:sz="0" w:space="0" w:color="auto"/>
                <w:left w:val="none" w:sz="0" w:space="0" w:color="auto"/>
                <w:bottom w:val="none" w:sz="0" w:space="0" w:color="auto"/>
                <w:right w:val="none" w:sz="0" w:space="0" w:color="auto"/>
                <w:bar w:val="none" w:sz="0" w:color="auto"/>
              </w:pBdr>
              <w:spacing w:before="0"/>
              <w:jc w:val="right"/>
              <w:rPr>
                <w:rFonts w:hAnsi="Arial" w:cs="Arial"/>
                <w:b/>
                <w:bCs/>
                <w:iCs/>
                <w:sz w:val="20"/>
                <w:szCs w:val="20"/>
                <w:lang w:val="en-GB"/>
              </w:rPr>
            </w:pPr>
            <w:r w:rsidRPr="00265A49">
              <w:rPr>
                <w:rFonts w:hAnsi="Arial" w:cs="Arial"/>
                <w:sz w:val="20"/>
                <w:szCs w:val="20"/>
                <w:lang w:val="en-GB"/>
              </w:rPr>
              <w:t>222</w:t>
            </w:r>
          </w:p>
        </w:tc>
        <w:tc>
          <w:tcPr>
            <w:tcW w:w="0" w:type="auto"/>
          </w:tcPr>
          <w:p w14:paraId="2F3F49F0" w14:textId="77777777" w:rsidR="003327CE" w:rsidRPr="00265A49" w:rsidRDefault="003327CE" w:rsidP="00265A49">
            <w:pPr>
              <w:pStyle w:val="Body"/>
              <w:pBdr>
                <w:top w:val="none" w:sz="0" w:space="0" w:color="auto"/>
                <w:left w:val="none" w:sz="0" w:space="0" w:color="auto"/>
                <w:bottom w:val="none" w:sz="0" w:space="0" w:color="auto"/>
                <w:right w:val="none" w:sz="0" w:space="0" w:color="auto"/>
                <w:bar w:val="none" w:sz="0" w:color="auto"/>
              </w:pBdr>
              <w:spacing w:before="0"/>
              <w:jc w:val="right"/>
              <w:rPr>
                <w:rFonts w:hAnsi="Arial" w:cs="Arial"/>
                <w:b/>
                <w:bCs/>
                <w:iCs/>
                <w:sz w:val="20"/>
                <w:szCs w:val="20"/>
                <w:lang w:val="en-GB"/>
              </w:rPr>
            </w:pPr>
            <w:r w:rsidRPr="00265A49">
              <w:rPr>
                <w:rFonts w:hAnsi="Arial" w:cs="Arial"/>
                <w:sz w:val="20"/>
                <w:szCs w:val="20"/>
                <w:lang w:val="en-GB"/>
              </w:rPr>
              <w:t>4.2</w:t>
            </w:r>
          </w:p>
        </w:tc>
      </w:tr>
      <w:tr w:rsidR="003327CE" w:rsidRPr="00265A49" w14:paraId="45F0D25C" w14:textId="77777777" w:rsidTr="00265A49">
        <w:trPr>
          <w:trHeight w:val="209"/>
        </w:trPr>
        <w:tc>
          <w:tcPr>
            <w:tcW w:w="0" w:type="auto"/>
          </w:tcPr>
          <w:p w14:paraId="021A8B17" w14:textId="77777777" w:rsidR="003327CE" w:rsidRPr="00265A49" w:rsidRDefault="003327CE" w:rsidP="00E7110E">
            <w:pPr>
              <w:pStyle w:val="Body"/>
              <w:pBdr>
                <w:top w:val="none" w:sz="0" w:space="0" w:color="auto"/>
                <w:left w:val="none" w:sz="0" w:space="0" w:color="auto"/>
                <w:bottom w:val="none" w:sz="0" w:space="0" w:color="auto"/>
                <w:right w:val="none" w:sz="0" w:space="0" w:color="auto"/>
                <w:bar w:val="none" w:sz="0" w:color="auto"/>
              </w:pBdr>
              <w:spacing w:before="0"/>
              <w:rPr>
                <w:rFonts w:hAnsi="Arial" w:cs="Arial"/>
                <w:sz w:val="20"/>
                <w:szCs w:val="20"/>
                <w:lang w:val="en-GB"/>
              </w:rPr>
            </w:pPr>
            <w:r w:rsidRPr="00265A49">
              <w:rPr>
                <w:rFonts w:hAnsi="Arial" w:cs="Arial"/>
                <w:sz w:val="20"/>
                <w:szCs w:val="20"/>
                <w:lang w:val="en-GB"/>
              </w:rPr>
              <w:t>Total</w:t>
            </w:r>
          </w:p>
        </w:tc>
        <w:tc>
          <w:tcPr>
            <w:tcW w:w="0" w:type="auto"/>
          </w:tcPr>
          <w:p w14:paraId="4F56B1F1" w14:textId="77777777" w:rsidR="003327CE" w:rsidRPr="00265A49" w:rsidRDefault="003327CE" w:rsidP="00265A49">
            <w:pPr>
              <w:pStyle w:val="Body"/>
              <w:pBdr>
                <w:top w:val="none" w:sz="0" w:space="0" w:color="auto"/>
                <w:left w:val="none" w:sz="0" w:space="0" w:color="auto"/>
                <w:bottom w:val="none" w:sz="0" w:space="0" w:color="auto"/>
                <w:right w:val="none" w:sz="0" w:space="0" w:color="auto"/>
                <w:bar w:val="none" w:sz="0" w:color="auto"/>
              </w:pBdr>
              <w:spacing w:before="0"/>
              <w:jc w:val="right"/>
              <w:rPr>
                <w:rFonts w:hAnsi="Arial" w:cs="Arial"/>
                <w:b/>
                <w:bCs/>
                <w:iCs/>
                <w:sz w:val="20"/>
                <w:szCs w:val="20"/>
                <w:lang w:val="en-GB"/>
              </w:rPr>
            </w:pPr>
            <w:r w:rsidRPr="00265A49">
              <w:rPr>
                <w:rFonts w:hAnsi="Arial" w:cs="Arial"/>
                <w:sz w:val="20"/>
                <w:szCs w:val="20"/>
                <w:lang w:val="en-GB"/>
              </w:rPr>
              <w:t>2826</w:t>
            </w:r>
          </w:p>
        </w:tc>
        <w:tc>
          <w:tcPr>
            <w:tcW w:w="0" w:type="auto"/>
          </w:tcPr>
          <w:p w14:paraId="4BF55A6C" w14:textId="77777777" w:rsidR="003327CE" w:rsidRPr="00265A49" w:rsidRDefault="003327CE" w:rsidP="00265A49">
            <w:pPr>
              <w:pStyle w:val="Body"/>
              <w:pBdr>
                <w:top w:val="none" w:sz="0" w:space="0" w:color="auto"/>
                <w:left w:val="none" w:sz="0" w:space="0" w:color="auto"/>
                <w:bottom w:val="none" w:sz="0" w:space="0" w:color="auto"/>
                <w:right w:val="none" w:sz="0" w:space="0" w:color="auto"/>
                <w:bar w:val="none" w:sz="0" w:color="auto"/>
              </w:pBdr>
              <w:spacing w:before="0"/>
              <w:jc w:val="right"/>
              <w:rPr>
                <w:rFonts w:hAnsi="Arial" w:cs="Arial"/>
                <w:b/>
                <w:bCs/>
                <w:iCs/>
                <w:sz w:val="20"/>
                <w:szCs w:val="20"/>
                <w:lang w:val="en-GB"/>
              </w:rPr>
            </w:pPr>
            <w:r w:rsidRPr="00265A49">
              <w:rPr>
                <w:rFonts w:hAnsi="Arial" w:cs="Arial"/>
                <w:sz w:val="20"/>
                <w:szCs w:val="20"/>
                <w:lang w:val="en-GB"/>
              </w:rPr>
              <w:t>100.0</w:t>
            </w:r>
          </w:p>
        </w:tc>
        <w:tc>
          <w:tcPr>
            <w:tcW w:w="0" w:type="auto"/>
          </w:tcPr>
          <w:p w14:paraId="1E9AB2FC" w14:textId="77777777" w:rsidR="003327CE" w:rsidRPr="00265A49" w:rsidRDefault="003327CE" w:rsidP="00265A49">
            <w:pPr>
              <w:pStyle w:val="Body"/>
              <w:pBdr>
                <w:top w:val="none" w:sz="0" w:space="0" w:color="auto"/>
                <w:left w:val="none" w:sz="0" w:space="0" w:color="auto"/>
                <w:bottom w:val="none" w:sz="0" w:space="0" w:color="auto"/>
                <w:right w:val="none" w:sz="0" w:space="0" w:color="auto"/>
                <w:bar w:val="none" w:sz="0" w:color="auto"/>
              </w:pBdr>
              <w:spacing w:before="0"/>
              <w:jc w:val="right"/>
              <w:rPr>
                <w:rFonts w:hAnsi="Arial" w:cs="Arial"/>
                <w:b/>
                <w:bCs/>
                <w:iCs/>
                <w:sz w:val="20"/>
                <w:szCs w:val="20"/>
                <w:lang w:val="en-GB"/>
              </w:rPr>
            </w:pPr>
            <w:r w:rsidRPr="00265A49">
              <w:rPr>
                <w:rFonts w:hAnsi="Arial" w:cs="Arial"/>
                <w:sz w:val="20"/>
                <w:szCs w:val="20"/>
                <w:lang w:val="en-GB"/>
              </w:rPr>
              <w:t>5120</w:t>
            </w:r>
          </w:p>
        </w:tc>
        <w:tc>
          <w:tcPr>
            <w:tcW w:w="0" w:type="auto"/>
          </w:tcPr>
          <w:p w14:paraId="2FD1278B" w14:textId="77777777" w:rsidR="003327CE" w:rsidRPr="00265A49" w:rsidRDefault="003327CE" w:rsidP="00265A49">
            <w:pPr>
              <w:pStyle w:val="Body"/>
              <w:pBdr>
                <w:top w:val="none" w:sz="0" w:space="0" w:color="auto"/>
                <w:left w:val="none" w:sz="0" w:space="0" w:color="auto"/>
                <w:bottom w:val="none" w:sz="0" w:space="0" w:color="auto"/>
                <w:right w:val="none" w:sz="0" w:space="0" w:color="auto"/>
                <w:bar w:val="none" w:sz="0" w:color="auto"/>
              </w:pBdr>
              <w:spacing w:before="0"/>
              <w:jc w:val="right"/>
              <w:rPr>
                <w:rFonts w:hAnsi="Arial" w:cs="Arial"/>
                <w:b/>
                <w:bCs/>
                <w:iCs/>
                <w:sz w:val="20"/>
                <w:szCs w:val="20"/>
                <w:lang w:val="en-GB"/>
              </w:rPr>
            </w:pPr>
            <w:r w:rsidRPr="00265A49">
              <w:rPr>
                <w:rFonts w:hAnsi="Arial" w:cs="Arial"/>
                <w:sz w:val="20"/>
                <w:szCs w:val="20"/>
                <w:lang w:val="en-GB"/>
              </w:rPr>
              <w:t>100.0</w:t>
            </w:r>
          </w:p>
        </w:tc>
        <w:tc>
          <w:tcPr>
            <w:tcW w:w="0" w:type="auto"/>
          </w:tcPr>
          <w:p w14:paraId="05E6C99B" w14:textId="77777777" w:rsidR="003327CE" w:rsidRPr="00265A49" w:rsidRDefault="003327CE" w:rsidP="00265A49">
            <w:pPr>
              <w:pStyle w:val="Body"/>
              <w:pBdr>
                <w:top w:val="none" w:sz="0" w:space="0" w:color="auto"/>
                <w:left w:val="none" w:sz="0" w:space="0" w:color="auto"/>
                <w:bottom w:val="none" w:sz="0" w:space="0" w:color="auto"/>
                <w:right w:val="none" w:sz="0" w:space="0" w:color="auto"/>
                <w:bar w:val="none" w:sz="0" w:color="auto"/>
              </w:pBdr>
              <w:spacing w:before="0"/>
              <w:jc w:val="right"/>
              <w:rPr>
                <w:rFonts w:hAnsi="Arial" w:cs="Arial"/>
                <w:b/>
                <w:bCs/>
                <w:iCs/>
                <w:sz w:val="20"/>
                <w:szCs w:val="20"/>
                <w:lang w:val="en-GB"/>
              </w:rPr>
            </w:pPr>
            <w:r w:rsidRPr="00265A49">
              <w:rPr>
                <w:rFonts w:hAnsi="Arial" w:cs="Arial"/>
                <w:sz w:val="20"/>
                <w:szCs w:val="20"/>
                <w:lang w:val="en-GB"/>
              </w:rPr>
              <w:t>5281</w:t>
            </w:r>
          </w:p>
        </w:tc>
        <w:tc>
          <w:tcPr>
            <w:tcW w:w="0" w:type="auto"/>
          </w:tcPr>
          <w:p w14:paraId="01D0E514" w14:textId="77777777" w:rsidR="003327CE" w:rsidRPr="00265A49" w:rsidRDefault="003327CE" w:rsidP="00265A49">
            <w:pPr>
              <w:pStyle w:val="Body"/>
              <w:pBdr>
                <w:top w:val="none" w:sz="0" w:space="0" w:color="auto"/>
                <w:left w:val="none" w:sz="0" w:space="0" w:color="auto"/>
                <w:bottom w:val="none" w:sz="0" w:space="0" w:color="auto"/>
                <w:right w:val="none" w:sz="0" w:space="0" w:color="auto"/>
                <w:bar w:val="none" w:sz="0" w:color="auto"/>
              </w:pBdr>
              <w:spacing w:before="0"/>
              <w:jc w:val="right"/>
              <w:rPr>
                <w:rFonts w:hAnsi="Arial" w:cs="Arial"/>
                <w:b/>
                <w:bCs/>
                <w:iCs/>
                <w:sz w:val="20"/>
                <w:szCs w:val="20"/>
                <w:lang w:val="en-GB"/>
              </w:rPr>
            </w:pPr>
            <w:r w:rsidRPr="00265A49">
              <w:rPr>
                <w:rFonts w:hAnsi="Arial" w:cs="Arial"/>
                <w:sz w:val="20"/>
                <w:szCs w:val="20"/>
                <w:lang w:val="en-GB"/>
              </w:rPr>
              <w:t>100.0</w:t>
            </w:r>
          </w:p>
        </w:tc>
      </w:tr>
    </w:tbl>
    <w:p w14:paraId="42C2DFB4" w14:textId="77777777" w:rsidR="003327CE" w:rsidRPr="00003EC0" w:rsidRDefault="003327CE" w:rsidP="003327CE">
      <w:pPr>
        <w:pStyle w:val="Body"/>
        <w:pBdr>
          <w:top w:val="none" w:sz="0" w:space="0" w:color="auto"/>
          <w:left w:val="none" w:sz="0" w:space="0" w:color="auto"/>
          <w:bottom w:val="none" w:sz="0" w:space="0" w:color="auto"/>
          <w:right w:val="none" w:sz="0" w:space="0" w:color="auto"/>
          <w:bar w:val="none" w:sz="0" w:color="auto"/>
        </w:pBdr>
        <w:spacing w:before="0" w:line="240" w:lineRule="auto"/>
        <w:jc w:val="both"/>
        <w:rPr>
          <w:rFonts w:hAnsi="Arial" w:cs="Arial"/>
          <w:lang w:val="en-GB"/>
        </w:rPr>
      </w:pPr>
    </w:p>
    <w:p w14:paraId="6CC69C5B" w14:textId="64D69153" w:rsidR="00265A49" w:rsidRPr="00003EC0" w:rsidRDefault="003327CE" w:rsidP="00265A49">
      <w:pPr>
        <w:pStyle w:val="Body"/>
        <w:pBdr>
          <w:top w:val="none" w:sz="0" w:space="0" w:color="auto"/>
          <w:left w:val="none" w:sz="0" w:space="0" w:color="auto"/>
          <w:bottom w:val="none" w:sz="0" w:space="0" w:color="auto"/>
          <w:right w:val="none" w:sz="0" w:space="0" w:color="auto"/>
          <w:bar w:val="none" w:sz="0" w:color="auto"/>
        </w:pBdr>
        <w:spacing w:before="0" w:line="240" w:lineRule="auto"/>
        <w:jc w:val="both"/>
        <w:rPr>
          <w:rFonts w:hAnsi="Arial" w:cs="Arial"/>
          <w:lang w:val="en-GB"/>
        </w:rPr>
      </w:pPr>
      <w:r w:rsidRPr="00003EC0">
        <w:rPr>
          <w:rFonts w:hAnsi="Arial" w:cs="Arial"/>
          <w:lang w:val="en-GB"/>
        </w:rPr>
        <w:t xml:space="preserve">There are </w:t>
      </w:r>
      <w:r w:rsidR="00265A49">
        <w:rPr>
          <w:rFonts w:hAnsi="Arial" w:cs="Arial"/>
          <w:lang w:val="en-GB"/>
        </w:rPr>
        <w:t xml:space="preserve">some </w:t>
      </w:r>
      <w:r w:rsidRPr="00003EC0">
        <w:rPr>
          <w:rFonts w:hAnsi="Arial" w:cs="Arial"/>
          <w:lang w:val="en-GB"/>
        </w:rPr>
        <w:t>discrepancies between the Census 2011 figures and the 2016 EU-SILC figures related to employment.</w:t>
      </w:r>
      <w:r w:rsidR="00265A49">
        <w:rPr>
          <w:rFonts w:hAnsi="Arial" w:cs="Arial"/>
          <w:lang w:val="en-GB"/>
        </w:rPr>
        <w:t xml:space="preserve"> </w:t>
      </w:r>
      <w:r w:rsidR="00265A49" w:rsidRPr="00003EC0">
        <w:rPr>
          <w:rFonts w:hAnsi="Arial" w:cs="Arial"/>
          <w:lang w:val="en-GB"/>
        </w:rPr>
        <w:t>The Census represents the situation on 20 November 2011</w:t>
      </w:r>
      <w:r w:rsidR="00265A49">
        <w:rPr>
          <w:rFonts w:hAnsi="Arial" w:cs="Arial"/>
          <w:lang w:val="en-GB"/>
        </w:rPr>
        <w:t>,</w:t>
      </w:r>
      <w:r w:rsidR="00265A49" w:rsidRPr="00003EC0">
        <w:rPr>
          <w:rFonts w:hAnsi="Arial" w:cs="Arial"/>
          <w:lang w:val="en-GB"/>
        </w:rPr>
        <w:t xml:space="preserve"> which is now 6 years old. Responding to the Census is obligatory in Malta and therefore the data covers the whole population living in Malta on that day and is not a survey. </w:t>
      </w:r>
      <w:r w:rsidR="00265A49">
        <w:rPr>
          <w:rFonts w:hAnsi="Arial" w:cs="Arial"/>
          <w:lang w:val="en-GB"/>
        </w:rPr>
        <w:t>The</w:t>
      </w:r>
      <w:r w:rsidR="00265A49" w:rsidRPr="00003EC0">
        <w:rPr>
          <w:rFonts w:hAnsi="Arial" w:cs="Arial"/>
          <w:lang w:val="en-GB"/>
        </w:rPr>
        <w:t xml:space="preserve"> Census </w:t>
      </w:r>
      <w:r w:rsidR="00265A49">
        <w:rPr>
          <w:rFonts w:hAnsi="Arial" w:cs="Arial"/>
          <w:lang w:val="en-GB"/>
        </w:rPr>
        <w:t>presents</w:t>
      </w:r>
      <w:r w:rsidR="00265A49" w:rsidRPr="00003EC0">
        <w:rPr>
          <w:rFonts w:hAnsi="Arial" w:cs="Arial"/>
          <w:lang w:val="en-GB"/>
        </w:rPr>
        <w:t xml:space="preserve"> labour status statistics </w:t>
      </w:r>
      <w:r w:rsidR="00265A49">
        <w:rPr>
          <w:rFonts w:hAnsi="Arial" w:cs="Arial"/>
          <w:lang w:val="en-GB"/>
        </w:rPr>
        <w:t>for all persons aged</w:t>
      </w:r>
      <w:r w:rsidR="00265A49" w:rsidRPr="00003EC0">
        <w:rPr>
          <w:rFonts w:hAnsi="Arial" w:cs="Arial"/>
          <w:lang w:val="en-GB"/>
        </w:rPr>
        <w:t xml:space="preserve"> 15 upwards</w:t>
      </w:r>
      <w:r w:rsidR="00265A49">
        <w:rPr>
          <w:rFonts w:hAnsi="Arial" w:cs="Arial"/>
          <w:lang w:val="en-GB"/>
        </w:rPr>
        <w:t xml:space="preserve"> and is not comparable with the 16-64 employment rate estimate derived from EU-SILC</w:t>
      </w:r>
      <w:r w:rsidR="00265A49" w:rsidRPr="00003EC0">
        <w:rPr>
          <w:rFonts w:hAnsi="Arial" w:cs="Arial"/>
          <w:lang w:val="en-GB"/>
        </w:rPr>
        <w:t xml:space="preserve">. </w:t>
      </w:r>
    </w:p>
    <w:p w14:paraId="09B1E792" w14:textId="77777777" w:rsidR="003327CE" w:rsidRPr="00003EC0" w:rsidRDefault="003327CE" w:rsidP="003327CE">
      <w:pPr>
        <w:pStyle w:val="Body"/>
        <w:pBdr>
          <w:top w:val="none" w:sz="0" w:space="0" w:color="auto"/>
          <w:left w:val="none" w:sz="0" w:space="0" w:color="auto"/>
          <w:bottom w:val="none" w:sz="0" w:space="0" w:color="auto"/>
          <w:right w:val="none" w:sz="0" w:space="0" w:color="auto"/>
          <w:bar w:val="none" w:sz="0" w:color="auto"/>
        </w:pBdr>
        <w:spacing w:before="0" w:line="240" w:lineRule="auto"/>
        <w:jc w:val="both"/>
        <w:rPr>
          <w:rFonts w:hAnsi="Arial" w:cs="Arial"/>
          <w:lang w:val="en-GB"/>
        </w:rPr>
      </w:pPr>
    </w:p>
    <w:p w14:paraId="090D7DA5" w14:textId="77777777" w:rsidR="003327CE" w:rsidRPr="00003EC0" w:rsidRDefault="003327CE" w:rsidP="003327CE">
      <w:pPr>
        <w:pStyle w:val="Body"/>
        <w:pBdr>
          <w:top w:val="none" w:sz="0" w:space="0" w:color="auto"/>
          <w:left w:val="none" w:sz="0" w:space="0" w:color="auto"/>
          <w:bottom w:val="none" w:sz="0" w:space="0" w:color="auto"/>
          <w:right w:val="none" w:sz="0" w:space="0" w:color="auto"/>
          <w:bar w:val="none" w:sz="0" w:color="auto"/>
        </w:pBdr>
        <w:spacing w:before="0" w:line="240" w:lineRule="auto"/>
        <w:jc w:val="both"/>
        <w:rPr>
          <w:rFonts w:hAnsi="Arial" w:cs="Arial"/>
          <w:lang w:val="en-GB"/>
        </w:rPr>
      </w:pPr>
      <w:r w:rsidRPr="00003EC0">
        <w:rPr>
          <w:rFonts w:hAnsi="Arial" w:cs="Arial"/>
          <w:lang w:val="en-GB"/>
        </w:rPr>
        <w:t>In the Census, the employment rate for disabled people is 16.5% (there is no breakdown between moderate and severe disability as with EU-SILC); in the Census, the employment rate for disabled women is 23.4% (compare to EU-SILC’s 17.2%) and for men it is 23.4% (compared to EU-SILC’s 33.5%). The final Census report for the general population shows that on Census Day, 60.7% of males and 36.2% of females were in employment.</w:t>
      </w:r>
      <w:r w:rsidRPr="00003EC0">
        <w:rPr>
          <w:rStyle w:val="FootnoteReference"/>
          <w:rFonts w:hAnsi="Arial" w:cs="Arial"/>
          <w:lang w:val="en-GB"/>
        </w:rPr>
        <w:footnoteReference w:id="71"/>
      </w:r>
    </w:p>
    <w:p w14:paraId="0668041D" w14:textId="77777777" w:rsidR="003327CE" w:rsidRPr="00003EC0" w:rsidRDefault="003327CE" w:rsidP="003327CE">
      <w:pPr>
        <w:pStyle w:val="Body"/>
        <w:pBdr>
          <w:top w:val="none" w:sz="0" w:space="0" w:color="auto"/>
          <w:left w:val="none" w:sz="0" w:space="0" w:color="auto"/>
          <w:bottom w:val="none" w:sz="0" w:space="0" w:color="auto"/>
          <w:right w:val="none" w:sz="0" w:space="0" w:color="auto"/>
          <w:bar w:val="none" w:sz="0" w:color="auto"/>
        </w:pBdr>
        <w:spacing w:before="0" w:line="240" w:lineRule="auto"/>
        <w:jc w:val="both"/>
        <w:rPr>
          <w:rFonts w:hAnsi="Arial" w:cs="Arial"/>
          <w:lang w:val="en-GB"/>
        </w:rPr>
      </w:pPr>
    </w:p>
    <w:p w14:paraId="5F727D3D" w14:textId="77777777" w:rsidR="003327CE" w:rsidRPr="00003EC0" w:rsidRDefault="003327CE" w:rsidP="003327CE">
      <w:pPr>
        <w:jc w:val="both"/>
      </w:pPr>
      <w:r w:rsidRPr="00003EC0">
        <w:t xml:space="preserve">The age range bands are also different and therefore comparison is difficult. </w:t>
      </w:r>
    </w:p>
    <w:p w14:paraId="5973CFEC" w14:textId="4545216D" w:rsidR="004217C2" w:rsidRDefault="004217C2" w:rsidP="00F01BC2">
      <w:pPr>
        <w:pStyle w:val="Sourcereference"/>
        <w:spacing w:after="0"/>
        <w:rPr>
          <w:sz w:val="24"/>
          <w:lang w:eastAsia="en-GB"/>
        </w:rPr>
      </w:pPr>
    </w:p>
    <w:p w14:paraId="5DA26BB6" w14:textId="3E6FC886" w:rsidR="00195964" w:rsidRPr="00003EC0" w:rsidRDefault="00195964" w:rsidP="00195964">
      <w:pPr>
        <w:pStyle w:val="Body"/>
        <w:pBdr>
          <w:top w:val="none" w:sz="0" w:space="0" w:color="auto"/>
          <w:left w:val="none" w:sz="0" w:space="0" w:color="auto"/>
          <w:bottom w:val="none" w:sz="0" w:space="0" w:color="auto"/>
          <w:right w:val="none" w:sz="0" w:space="0" w:color="auto"/>
          <w:bar w:val="none" w:sz="0" w:color="auto"/>
        </w:pBdr>
        <w:spacing w:before="0" w:line="240" w:lineRule="auto"/>
        <w:jc w:val="both"/>
        <w:rPr>
          <w:rFonts w:hAnsi="Arial" w:cs="Arial"/>
          <w:lang w:val="en-GB"/>
        </w:rPr>
      </w:pPr>
      <w:r w:rsidRPr="00003EC0">
        <w:rPr>
          <w:rFonts w:hAnsi="Arial" w:cs="Arial"/>
          <w:lang w:val="en-GB"/>
        </w:rPr>
        <w:t xml:space="preserve">Tables </w:t>
      </w:r>
      <w:r>
        <w:rPr>
          <w:rFonts w:hAnsi="Arial" w:cs="Arial"/>
          <w:lang w:val="en-GB"/>
        </w:rPr>
        <w:t>1</w:t>
      </w:r>
      <w:r w:rsidRPr="00003EC0">
        <w:rPr>
          <w:rFonts w:hAnsi="Arial" w:cs="Arial"/>
          <w:lang w:val="en-GB"/>
        </w:rPr>
        <w:t xml:space="preserve">, </w:t>
      </w:r>
      <w:r>
        <w:rPr>
          <w:rFonts w:hAnsi="Arial" w:cs="Arial"/>
          <w:lang w:val="en-GB"/>
        </w:rPr>
        <w:t>2</w:t>
      </w:r>
      <w:r w:rsidRPr="00003EC0">
        <w:rPr>
          <w:rFonts w:hAnsi="Arial" w:cs="Arial"/>
          <w:lang w:val="en-GB"/>
        </w:rPr>
        <w:t xml:space="preserve">, and </w:t>
      </w:r>
      <w:r>
        <w:rPr>
          <w:rFonts w:hAnsi="Arial" w:cs="Arial"/>
          <w:lang w:val="en-GB"/>
        </w:rPr>
        <w:t>3</w:t>
      </w:r>
      <w:r w:rsidRPr="00003EC0">
        <w:rPr>
          <w:rFonts w:hAnsi="Arial" w:cs="Arial"/>
          <w:lang w:val="en-GB"/>
        </w:rPr>
        <w:t xml:space="preserve"> above (on employment) also show unemployment figures. </w:t>
      </w:r>
    </w:p>
    <w:p w14:paraId="128F2B61" w14:textId="5A96E255" w:rsidR="00195964" w:rsidRDefault="00195964" w:rsidP="00195964">
      <w:pPr>
        <w:pStyle w:val="Body"/>
        <w:pBdr>
          <w:top w:val="none" w:sz="0" w:space="0" w:color="auto"/>
          <w:left w:val="none" w:sz="0" w:space="0" w:color="auto"/>
          <w:bottom w:val="none" w:sz="0" w:space="0" w:color="auto"/>
          <w:right w:val="none" w:sz="0" w:space="0" w:color="auto"/>
          <w:bar w:val="none" w:sz="0" w:color="auto"/>
        </w:pBdr>
        <w:spacing w:before="0" w:line="240" w:lineRule="auto"/>
        <w:jc w:val="both"/>
        <w:rPr>
          <w:rFonts w:hAnsi="Arial" w:cs="Arial"/>
          <w:lang w:val="en-GB"/>
        </w:rPr>
      </w:pPr>
      <w:r w:rsidRPr="00003EC0">
        <w:rPr>
          <w:rFonts w:hAnsi="Arial" w:cs="Arial"/>
          <w:lang w:val="en-GB"/>
        </w:rPr>
        <w:t>The discrepancies between EU-SILC and Census are as follows:</w:t>
      </w:r>
    </w:p>
    <w:p w14:paraId="6975B489" w14:textId="77777777" w:rsidR="00A14357" w:rsidRPr="00003EC0" w:rsidRDefault="00A14357" w:rsidP="00195964">
      <w:pPr>
        <w:pStyle w:val="Body"/>
        <w:pBdr>
          <w:top w:val="none" w:sz="0" w:space="0" w:color="auto"/>
          <w:left w:val="none" w:sz="0" w:space="0" w:color="auto"/>
          <w:bottom w:val="none" w:sz="0" w:space="0" w:color="auto"/>
          <w:right w:val="none" w:sz="0" w:space="0" w:color="auto"/>
          <w:bar w:val="none" w:sz="0" w:color="auto"/>
        </w:pBdr>
        <w:spacing w:before="0" w:line="240" w:lineRule="auto"/>
        <w:jc w:val="both"/>
        <w:rPr>
          <w:rFonts w:hAnsi="Arial" w:cs="Arial"/>
          <w:lang w:val="en-GB"/>
        </w:rPr>
      </w:pPr>
    </w:p>
    <w:p w14:paraId="197FE4DC" w14:textId="42DD5F80" w:rsidR="00195964" w:rsidRPr="00003EC0" w:rsidRDefault="00195964" w:rsidP="00195964">
      <w:pPr>
        <w:pStyle w:val="Body"/>
        <w:numPr>
          <w:ilvl w:val="0"/>
          <w:numId w:val="32"/>
        </w:numPr>
        <w:pBdr>
          <w:top w:val="none" w:sz="0" w:space="0" w:color="auto"/>
          <w:left w:val="none" w:sz="0" w:space="0" w:color="auto"/>
          <w:bottom w:val="none" w:sz="0" w:space="0" w:color="auto"/>
          <w:right w:val="none" w:sz="0" w:space="0" w:color="auto"/>
          <w:bar w:val="none" w:sz="0" w:color="auto"/>
        </w:pBdr>
        <w:spacing w:before="0" w:line="240" w:lineRule="auto"/>
        <w:ind w:left="567" w:hanging="567"/>
        <w:jc w:val="both"/>
        <w:rPr>
          <w:rFonts w:hAnsi="Arial" w:cs="Arial"/>
          <w:lang w:val="en-GB"/>
        </w:rPr>
      </w:pPr>
      <w:r w:rsidRPr="00003EC0">
        <w:rPr>
          <w:rFonts w:hAnsi="Arial" w:cs="Arial"/>
          <w:lang w:val="en-GB"/>
        </w:rPr>
        <w:t>Disabled women: 11.1% in EU-SILC; 1.3% in Census</w:t>
      </w:r>
      <w:r w:rsidR="00412BD4">
        <w:rPr>
          <w:rFonts w:hAnsi="Arial" w:cs="Arial"/>
          <w:lang w:val="en-GB"/>
        </w:rPr>
        <w:t>.</w:t>
      </w:r>
    </w:p>
    <w:p w14:paraId="5A7B7D60" w14:textId="042D7952" w:rsidR="00195964" w:rsidRPr="00003EC0" w:rsidRDefault="00195964" w:rsidP="00195964">
      <w:pPr>
        <w:pStyle w:val="Body"/>
        <w:numPr>
          <w:ilvl w:val="0"/>
          <w:numId w:val="32"/>
        </w:numPr>
        <w:pBdr>
          <w:top w:val="none" w:sz="0" w:space="0" w:color="auto"/>
          <w:left w:val="none" w:sz="0" w:space="0" w:color="auto"/>
          <w:bottom w:val="none" w:sz="0" w:space="0" w:color="auto"/>
          <w:right w:val="none" w:sz="0" w:space="0" w:color="auto"/>
          <w:bar w:val="none" w:sz="0" w:color="auto"/>
        </w:pBdr>
        <w:spacing w:before="0" w:line="240" w:lineRule="auto"/>
        <w:ind w:left="567" w:hanging="567"/>
        <w:jc w:val="both"/>
        <w:rPr>
          <w:rFonts w:hAnsi="Arial" w:cs="Arial"/>
          <w:lang w:val="en-GB"/>
        </w:rPr>
      </w:pPr>
      <w:r w:rsidRPr="00003EC0">
        <w:rPr>
          <w:rFonts w:hAnsi="Arial" w:cs="Arial"/>
          <w:lang w:val="en-GB"/>
        </w:rPr>
        <w:t>Disabled men: 20.2% in EU-SILC; 2.8 in Census</w:t>
      </w:r>
      <w:r w:rsidR="00412BD4">
        <w:rPr>
          <w:rFonts w:hAnsi="Arial" w:cs="Arial"/>
          <w:lang w:val="en-GB"/>
        </w:rPr>
        <w:t>.</w:t>
      </w:r>
    </w:p>
    <w:p w14:paraId="4E85A138" w14:textId="486EBBA3" w:rsidR="00195964" w:rsidRPr="00003EC0" w:rsidRDefault="00195964" w:rsidP="00195964">
      <w:pPr>
        <w:pStyle w:val="Body"/>
        <w:numPr>
          <w:ilvl w:val="0"/>
          <w:numId w:val="32"/>
        </w:numPr>
        <w:pBdr>
          <w:top w:val="none" w:sz="0" w:space="0" w:color="auto"/>
          <w:left w:val="none" w:sz="0" w:space="0" w:color="auto"/>
          <w:bottom w:val="none" w:sz="0" w:space="0" w:color="auto"/>
          <w:right w:val="none" w:sz="0" w:space="0" w:color="auto"/>
          <w:bar w:val="none" w:sz="0" w:color="auto"/>
        </w:pBdr>
        <w:spacing w:before="0" w:line="240" w:lineRule="auto"/>
        <w:ind w:left="567" w:hanging="567"/>
        <w:jc w:val="both"/>
        <w:rPr>
          <w:rFonts w:hAnsi="Arial" w:cs="Arial"/>
          <w:lang w:val="en-GB"/>
        </w:rPr>
      </w:pPr>
      <w:r w:rsidRPr="00003EC0">
        <w:rPr>
          <w:rFonts w:hAnsi="Arial" w:cs="Arial"/>
          <w:lang w:val="en-GB"/>
        </w:rPr>
        <w:t>Non-disabled women: 2.7% in EU-SILC; 2.47% in Census</w:t>
      </w:r>
      <w:r w:rsidR="00412BD4">
        <w:rPr>
          <w:rFonts w:hAnsi="Arial" w:cs="Arial"/>
          <w:lang w:val="en-GB"/>
        </w:rPr>
        <w:t>.</w:t>
      </w:r>
    </w:p>
    <w:p w14:paraId="7786B6E9" w14:textId="22351F01" w:rsidR="00195964" w:rsidRPr="00003EC0" w:rsidRDefault="00195964" w:rsidP="00195964">
      <w:pPr>
        <w:pStyle w:val="Body"/>
        <w:numPr>
          <w:ilvl w:val="0"/>
          <w:numId w:val="32"/>
        </w:numPr>
        <w:pBdr>
          <w:top w:val="none" w:sz="0" w:space="0" w:color="auto"/>
          <w:left w:val="none" w:sz="0" w:space="0" w:color="auto"/>
          <w:bottom w:val="none" w:sz="0" w:space="0" w:color="auto"/>
          <w:right w:val="none" w:sz="0" w:space="0" w:color="auto"/>
          <w:bar w:val="none" w:sz="0" w:color="auto"/>
        </w:pBdr>
        <w:spacing w:before="0" w:line="240" w:lineRule="auto"/>
        <w:ind w:left="567" w:hanging="567"/>
        <w:jc w:val="both"/>
        <w:rPr>
          <w:rFonts w:hAnsi="Arial" w:cs="Arial"/>
          <w:lang w:val="en-GB"/>
        </w:rPr>
      </w:pPr>
      <w:r w:rsidRPr="00003EC0">
        <w:rPr>
          <w:rFonts w:hAnsi="Arial" w:cs="Arial"/>
          <w:lang w:val="en-GB"/>
        </w:rPr>
        <w:t>Non-disabled men: 5.4% in EU-SILC; 4.99% in Census</w:t>
      </w:r>
      <w:r w:rsidR="00412BD4">
        <w:rPr>
          <w:rFonts w:hAnsi="Arial" w:cs="Arial"/>
          <w:lang w:val="en-GB"/>
        </w:rPr>
        <w:t>.</w:t>
      </w:r>
    </w:p>
    <w:p w14:paraId="0623F31F" w14:textId="0E525700" w:rsidR="00195964" w:rsidRPr="00003EC0" w:rsidRDefault="00195964" w:rsidP="00195964">
      <w:pPr>
        <w:pStyle w:val="Body"/>
        <w:numPr>
          <w:ilvl w:val="0"/>
          <w:numId w:val="32"/>
        </w:numPr>
        <w:pBdr>
          <w:top w:val="none" w:sz="0" w:space="0" w:color="auto"/>
          <w:left w:val="none" w:sz="0" w:space="0" w:color="auto"/>
          <w:bottom w:val="none" w:sz="0" w:space="0" w:color="auto"/>
          <w:right w:val="none" w:sz="0" w:space="0" w:color="auto"/>
          <w:bar w:val="none" w:sz="0" w:color="auto"/>
        </w:pBdr>
        <w:spacing w:before="0" w:line="240" w:lineRule="auto"/>
        <w:ind w:left="567" w:hanging="567"/>
        <w:jc w:val="both"/>
        <w:rPr>
          <w:rFonts w:hAnsi="Arial" w:cs="Arial"/>
          <w:lang w:val="en-GB"/>
        </w:rPr>
      </w:pPr>
      <w:r w:rsidRPr="00003EC0">
        <w:rPr>
          <w:rFonts w:hAnsi="Arial" w:cs="Arial"/>
          <w:lang w:val="en-GB"/>
        </w:rPr>
        <w:lastRenderedPageBreak/>
        <w:t>Unemployment rates refer to persons who are not in employment and are actively seeking a job</w:t>
      </w:r>
      <w:r w:rsidR="00412BD4">
        <w:rPr>
          <w:rFonts w:hAnsi="Arial" w:cs="Arial"/>
          <w:lang w:val="en-GB"/>
        </w:rPr>
        <w:t>.</w:t>
      </w:r>
    </w:p>
    <w:p w14:paraId="2C32A416" w14:textId="1951950C" w:rsidR="00195964" w:rsidRPr="00003EC0" w:rsidRDefault="00195964" w:rsidP="00195964">
      <w:pPr>
        <w:pStyle w:val="Body"/>
        <w:numPr>
          <w:ilvl w:val="0"/>
          <w:numId w:val="32"/>
        </w:numPr>
        <w:pBdr>
          <w:top w:val="none" w:sz="0" w:space="0" w:color="auto"/>
          <w:left w:val="none" w:sz="0" w:space="0" w:color="auto"/>
          <w:bottom w:val="none" w:sz="0" w:space="0" w:color="auto"/>
          <w:right w:val="none" w:sz="0" w:space="0" w:color="auto"/>
          <w:bar w:val="none" w:sz="0" w:color="auto"/>
        </w:pBdr>
        <w:spacing w:before="0" w:line="240" w:lineRule="auto"/>
        <w:ind w:left="567" w:hanging="567"/>
        <w:jc w:val="both"/>
        <w:rPr>
          <w:rFonts w:hAnsi="Arial" w:cs="Arial"/>
          <w:lang w:val="en-GB"/>
        </w:rPr>
      </w:pPr>
      <w:r w:rsidRPr="00003EC0">
        <w:rPr>
          <w:rFonts w:hAnsi="Arial" w:cs="Arial"/>
          <w:lang w:val="en-GB"/>
        </w:rPr>
        <w:t>According to EU-SILC data, the unemployment rate for disabled men has been the highest in 2010 (30.1%) and has then seen a strong decrease for 2011 (12.8%). It has been relatively similar since 2012</w:t>
      </w:r>
      <w:r w:rsidR="00412BD4">
        <w:rPr>
          <w:rFonts w:hAnsi="Arial" w:cs="Arial"/>
          <w:lang w:val="en-GB"/>
        </w:rPr>
        <w:t>.</w:t>
      </w:r>
    </w:p>
    <w:p w14:paraId="2DCD9FD5" w14:textId="77777777" w:rsidR="00195964" w:rsidRPr="00003EC0" w:rsidRDefault="00195964" w:rsidP="00195964">
      <w:pPr>
        <w:pStyle w:val="Body"/>
        <w:numPr>
          <w:ilvl w:val="0"/>
          <w:numId w:val="32"/>
        </w:numPr>
        <w:pBdr>
          <w:top w:val="none" w:sz="0" w:space="0" w:color="auto"/>
          <w:left w:val="none" w:sz="0" w:space="0" w:color="auto"/>
          <w:bottom w:val="none" w:sz="0" w:space="0" w:color="auto"/>
          <w:right w:val="none" w:sz="0" w:space="0" w:color="auto"/>
          <w:bar w:val="none" w:sz="0" w:color="auto"/>
        </w:pBdr>
        <w:spacing w:before="0" w:line="240" w:lineRule="auto"/>
        <w:ind w:left="567" w:hanging="567"/>
        <w:jc w:val="both"/>
        <w:rPr>
          <w:rFonts w:hAnsi="Arial" w:cs="Arial"/>
          <w:lang w:val="en-GB"/>
        </w:rPr>
      </w:pPr>
      <w:r w:rsidRPr="00003EC0">
        <w:rPr>
          <w:rFonts w:hAnsi="Arial" w:cs="Arial"/>
          <w:lang w:val="en-GB"/>
        </w:rPr>
        <w:t xml:space="preserve">According to EU-SILC data, the unemployment rate for disabled women has also been the highest in 2010 (20.6%). The lowest was in 2014 with only 3.0%. However, it has increased again in 2015 with 11.1%. </w:t>
      </w:r>
    </w:p>
    <w:p w14:paraId="08201C68" w14:textId="52EE7209" w:rsidR="00F01BC2" w:rsidRPr="00F01BC2" w:rsidRDefault="00F01BC2" w:rsidP="00F01BC2">
      <w:pPr>
        <w:pStyle w:val="Sourcereference"/>
        <w:spacing w:after="0"/>
        <w:rPr>
          <w:sz w:val="24"/>
          <w:lang w:eastAsia="en-GB"/>
        </w:rPr>
      </w:pPr>
    </w:p>
    <w:p w14:paraId="6AF98D44" w14:textId="2E89E373" w:rsidR="001851FF" w:rsidRDefault="00E7110E" w:rsidP="00A14357">
      <w:pPr>
        <w:jc w:val="both"/>
      </w:pPr>
      <w:r w:rsidRPr="00003EC0">
        <w:t xml:space="preserve">There is no alternative national data on disability and economic activity available. </w:t>
      </w:r>
    </w:p>
    <w:p w14:paraId="7AE77BFB" w14:textId="77777777" w:rsidR="00A14357" w:rsidRPr="00A14357" w:rsidRDefault="00A14357" w:rsidP="00A14357">
      <w:pPr>
        <w:jc w:val="both"/>
      </w:pPr>
    </w:p>
    <w:p w14:paraId="79E35AAA" w14:textId="637350EF" w:rsidR="000E59E4" w:rsidRPr="00080B09" w:rsidRDefault="00DE4BC5" w:rsidP="00CD69B8">
      <w:pPr>
        <w:pStyle w:val="Heading2"/>
      </w:pPr>
      <w:bookmarkStart w:id="22" w:name="_Toc2697728"/>
      <w:r w:rsidRPr="00080B09">
        <w:t>Disability and e</w:t>
      </w:r>
      <w:r w:rsidR="00BF6032" w:rsidRPr="00080B09">
        <w:t>ducation</w:t>
      </w:r>
      <w:r w:rsidR="00574AF4" w:rsidRPr="00080B09">
        <w:t>al attainment</w:t>
      </w:r>
      <w:r w:rsidR="00D939BF" w:rsidRPr="00080B09">
        <w:t xml:space="preserve"> data</w:t>
      </w:r>
      <w:r w:rsidR="001F6793" w:rsidRPr="00080B09">
        <w:t xml:space="preserve"> from EU-SILC</w:t>
      </w:r>
      <w:bookmarkEnd w:id="22"/>
    </w:p>
    <w:p w14:paraId="550D1E20" w14:textId="77777777" w:rsidR="00F01BC2" w:rsidRDefault="00F01BC2" w:rsidP="00F01BC2">
      <w:pPr>
        <w:pStyle w:val="BodyText"/>
        <w:spacing w:after="0"/>
        <w:jc w:val="both"/>
      </w:pPr>
    </w:p>
    <w:p w14:paraId="5AC8EDCE" w14:textId="1D8C37C8" w:rsidR="00431571" w:rsidRDefault="00431571" w:rsidP="00A14357">
      <w:pPr>
        <w:pStyle w:val="BodyText"/>
        <w:jc w:val="both"/>
      </w:pPr>
      <w:r>
        <w:t>National comparisons are more limited in the EU2020 target age groups (a wider range improves reliability</w:t>
      </w:r>
      <w:r w:rsidR="00A14357">
        <w:t>,</w:t>
      </w:r>
      <w:r w:rsidRPr="00CA22BF">
        <w:t xml:space="preserve"> </w:t>
      </w:r>
      <w:r>
        <w:t>but gender breakdowns are not reliable). The EU level indicator is reliable but there is low reliability at the national level in individual years. The following tables show an average of the three most recent years (2014-2016).</w:t>
      </w:r>
    </w:p>
    <w:p w14:paraId="6F4CB7B8" w14:textId="77777777" w:rsidR="009B65D1" w:rsidRDefault="009B65D1" w:rsidP="005F5C3F">
      <w:pPr>
        <w:pStyle w:val="Caption"/>
      </w:pPr>
    </w:p>
    <w:p w14:paraId="7CB367B1" w14:textId="08028D2C" w:rsidR="009B65D1" w:rsidRPr="009B65D1" w:rsidRDefault="00D939BF" w:rsidP="00431571">
      <w:pPr>
        <w:pStyle w:val="Caption"/>
      </w:pPr>
      <w:r>
        <w:t xml:space="preserve">Table </w:t>
      </w:r>
      <w:r w:rsidR="00F01BC2">
        <w:rPr>
          <w:noProof/>
        </w:rPr>
        <w:fldChar w:fldCharType="begin"/>
      </w:r>
      <w:r w:rsidR="00F01BC2">
        <w:rPr>
          <w:noProof/>
        </w:rPr>
        <w:instrText xml:space="preserve"> SEQ Table \* ARABIC </w:instrText>
      </w:r>
      <w:r w:rsidR="00F01BC2">
        <w:rPr>
          <w:noProof/>
        </w:rPr>
        <w:fldChar w:fldCharType="separate"/>
      </w:r>
      <w:r w:rsidR="00FE3D2A">
        <w:rPr>
          <w:noProof/>
        </w:rPr>
        <w:t>15</w:t>
      </w:r>
      <w:r w:rsidR="00F01BC2">
        <w:rPr>
          <w:noProof/>
        </w:rPr>
        <w:fldChar w:fldCharType="end"/>
      </w:r>
      <w:r>
        <w:t xml:space="preserve">: </w:t>
      </w:r>
      <w:r w:rsidR="00431571">
        <w:t>Three-year average e</w:t>
      </w:r>
      <w:r w:rsidR="00431571">
        <w:rPr>
          <w:noProof/>
        </w:rPr>
        <w:t>arly leaving rates, by disability status (aged 18-24 and 18-29)</w:t>
      </w:r>
      <w:r w:rsidR="00431571" w:rsidRPr="002C6495">
        <w:rPr>
          <w:rStyle w:val="FootnoteReference"/>
          <w:sz w:val="24"/>
        </w:rPr>
        <w:footnoteReference w:id="72"/>
      </w:r>
    </w:p>
    <w:p w14:paraId="37297BD4" w14:textId="77777777" w:rsidR="00CB416F" w:rsidRDefault="00CB416F" w:rsidP="00CB416F">
      <w:r>
        <w:rPr>
          <w:noProof/>
          <w:lang w:eastAsia="zh-CN"/>
        </w:rPr>
        <w:drawing>
          <wp:inline distT="0" distB="0" distL="0" distR="0" wp14:anchorId="4D8038F3" wp14:editId="280274CB">
            <wp:extent cx="5486400" cy="1611517"/>
            <wp:effectExtent l="0" t="0" r="19050" b="27305"/>
            <wp:docPr id="36" name="Chart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252821AE" w14:textId="77777777" w:rsidR="00431571" w:rsidRDefault="00431571" w:rsidP="00431571">
      <w:pPr>
        <w:pStyle w:val="Sourcereference"/>
        <w:rPr>
          <w:lang w:eastAsia="en-GB"/>
        </w:rPr>
      </w:pPr>
      <w:r>
        <w:rPr>
          <w:lang w:eastAsia="en-GB"/>
        </w:rPr>
        <w:t xml:space="preserve">Note: </w:t>
      </w:r>
      <w:r w:rsidRPr="008C52F7">
        <w:rPr>
          <w:lang w:eastAsia="en-GB"/>
        </w:rPr>
        <w:t>It is important to exercise caution in analysis where the sample size is small in these age groups</w:t>
      </w:r>
      <w:r>
        <w:rPr>
          <w:lang w:eastAsia="en-GB"/>
        </w:rPr>
        <w:t xml:space="preserve"> (there are fewer than 50 observations in the 18-24 disability group in Malta).</w:t>
      </w:r>
    </w:p>
    <w:p w14:paraId="7A606206" w14:textId="7B0E5887" w:rsidR="00EA166E" w:rsidRDefault="00EA166E" w:rsidP="00431571">
      <w:pPr>
        <w:pStyle w:val="Caption"/>
      </w:pPr>
      <w:r>
        <w:t xml:space="preserve">Table </w:t>
      </w:r>
      <w:r w:rsidR="00F01BC2">
        <w:rPr>
          <w:noProof/>
        </w:rPr>
        <w:fldChar w:fldCharType="begin"/>
      </w:r>
      <w:r w:rsidR="00F01BC2">
        <w:rPr>
          <w:noProof/>
        </w:rPr>
        <w:instrText xml:space="preserve"> SEQ Table \* ARABIC </w:instrText>
      </w:r>
      <w:r w:rsidR="00F01BC2">
        <w:rPr>
          <w:noProof/>
        </w:rPr>
        <w:fldChar w:fldCharType="separate"/>
      </w:r>
      <w:r w:rsidR="00FE3D2A">
        <w:rPr>
          <w:noProof/>
        </w:rPr>
        <w:t>16</w:t>
      </w:r>
      <w:r w:rsidR="00F01BC2">
        <w:rPr>
          <w:noProof/>
        </w:rPr>
        <w:fldChar w:fldCharType="end"/>
      </w:r>
      <w:r>
        <w:t xml:space="preserve">: </w:t>
      </w:r>
      <w:r w:rsidR="00431571">
        <w:t xml:space="preserve">Three-year average </w:t>
      </w:r>
      <w:r w:rsidR="00431571">
        <w:rPr>
          <w:noProof/>
        </w:rPr>
        <w:t>tertiary or equivalent education rate (age 30-34 and 30-39)</w:t>
      </w:r>
    </w:p>
    <w:p w14:paraId="604E5D20" w14:textId="77777777" w:rsidR="00431571" w:rsidRDefault="00431571" w:rsidP="00431571">
      <w:r>
        <w:rPr>
          <w:noProof/>
          <w:lang w:eastAsia="zh-CN"/>
        </w:rPr>
        <w:drawing>
          <wp:inline distT="0" distB="0" distL="0" distR="0" wp14:anchorId="1145862E" wp14:editId="33393B79">
            <wp:extent cx="5486400" cy="1466661"/>
            <wp:effectExtent l="0" t="0" r="19050" b="19685"/>
            <wp:docPr id="31" name="Chart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39577E0D" w14:textId="77777777" w:rsidR="00431571" w:rsidRDefault="00431571" w:rsidP="00431571">
      <w:pPr>
        <w:pStyle w:val="Sourcereference"/>
        <w:rPr>
          <w:lang w:eastAsia="en-GB"/>
        </w:rPr>
      </w:pPr>
      <w:r w:rsidRPr="00E024C9">
        <w:t xml:space="preserve">Source: </w:t>
      </w:r>
      <w:r>
        <w:rPr>
          <w:lang w:eastAsia="en-GB"/>
        </w:rPr>
        <w:t>EU-SILC UDB 2016 – version of March 2018</w:t>
      </w:r>
      <w:r w:rsidRPr="00E024C9">
        <w:rPr>
          <w:lang w:eastAsia="en-GB"/>
        </w:rPr>
        <w:t xml:space="preserve"> (and preceding UDBs)</w:t>
      </w:r>
    </w:p>
    <w:p w14:paraId="6C8B8200" w14:textId="77777777" w:rsidR="00431571" w:rsidRDefault="00431571" w:rsidP="00431571">
      <w:pPr>
        <w:pStyle w:val="Sourcereference"/>
        <w:rPr>
          <w:lang w:eastAsia="en-GB"/>
        </w:rPr>
      </w:pPr>
      <w:r w:rsidRPr="00D77484">
        <w:rPr>
          <w:lang w:eastAsia="en-GB"/>
        </w:rPr>
        <w:t xml:space="preserve">Note: It is important to exercise caution in analysis where the sample size is small in these age groups (there are fewer than 50 observations in the 30-34 disability group in </w:t>
      </w:r>
      <w:r w:rsidRPr="00E24424">
        <w:rPr>
          <w:lang w:eastAsia="en-GB"/>
        </w:rPr>
        <w:t>Malta</w:t>
      </w:r>
      <w:r w:rsidRPr="00D77484">
        <w:rPr>
          <w:lang w:eastAsia="en-GB"/>
        </w:rPr>
        <w:t>).</w:t>
      </w:r>
    </w:p>
    <w:p w14:paraId="3F072C91" w14:textId="77777777" w:rsidR="00431571" w:rsidRDefault="00431571" w:rsidP="00431571">
      <w:pPr>
        <w:pStyle w:val="Sourcereference"/>
        <w:rPr>
          <w:lang w:eastAsia="en-GB"/>
        </w:rPr>
      </w:pPr>
      <w:r w:rsidRPr="00531C65">
        <w:rPr>
          <w:lang w:eastAsia="en-GB"/>
        </w:rPr>
        <w:t xml:space="preserve">Note: Confidence intervals for the disability group are large and reliability low. An average of several years </w:t>
      </w:r>
      <w:r>
        <w:rPr>
          <w:lang w:eastAsia="en-GB"/>
        </w:rPr>
        <w:t>is</w:t>
      </w:r>
      <w:r w:rsidRPr="00531C65">
        <w:rPr>
          <w:lang w:eastAsia="en-GB"/>
        </w:rPr>
        <w:t xml:space="preserve"> needed. National administrative data may provide alternati</w:t>
      </w:r>
      <w:r>
        <w:rPr>
          <w:lang w:eastAsia="en-GB"/>
        </w:rPr>
        <w:t>ve indications, where available</w:t>
      </w:r>
      <w:r w:rsidRPr="00DE7B06">
        <w:rPr>
          <w:lang w:eastAsia="en-GB"/>
        </w:rPr>
        <w:t>.</w:t>
      </w:r>
    </w:p>
    <w:p w14:paraId="02AD56F4" w14:textId="461A60D6" w:rsidR="001851FF" w:rsidRDefault="001851FF" w:rsidP="00C66F7C">
      <w:pPr>
        <w:pStyle w:val="Heading3"/>
      </w:pPr>
      <w:bookmarkStart w:id="23" w:name="_Toc2697729"/>
      <w:r>
        <w:lastRenderedPageBreak/>
        <w:t>Alternative sources of national disability education data</w:t>
      </w:r>
      <w:bookmarkEnd w:id="23"/>
    </w:p>
    <w:p w14:paraId="4AF9EDF9" w14:textId="77777777" w:rsidR="005831C6" w:rsidRDefault="005831C6" w:rsidP="005831C6"/>
    <w:p w14:paraId="109931EB" w14:textId="35ACF346" w:rsidR="00A34FBD" w:rsidRPr="00003EC0" w:rsidRDefault="00A34FBD" w:rsidP="00A915A6">
      <w:pPr>
        <w:pStyle w:val="Body"/>
        <w:pBdr>
          <w:top w:val="none" w:sz="0" w:space="0" w:color="auto"/>
          <w:left w:val="none" w:sz="0" w:space="0" w:color="auto"/>
          <w:bottom w:val="none" w:sz="0" w:space="0" w:color="auto"/>
          <w:right w:val="none" w:sz="0" w:space="0" w:color="auto"/>
          <w:bar w:val="none" w:sz="0" w:color="auto"/>
        </w:pBdr>
        <w:spacing w:before="0" w:line="240" w:lineRule="auto"/>
        <w:jc w:val="both"/>
        <w:rPr>
          <w:rFonts w:hAnsi="Arial" w:cs="Arial"/>
          <w:lang w:val="en-GB"/>
        </w:rPr>
      </w:pPr>
      <w:r w:rsidRPr="00485379">
        <w:rPr>
          <w:bCs/>
          <w:lang w:val="en-GB"/>
        </w:rPr>
        <w:t>No alternative sources of data on disability and early school leavers were identified for this report.</w:t>
      </w:r>
      <w:r w:rsidR="00A915A6" w:rsidRPr="00485379">
        <w:rPr>
          <w:bCs/>
          <w:lang w:val="en-GB"/>
        </w:rPr>
        <w:t xml:space="preserve"> </w:t>
      </w:r>
      <w:r w:rsidRPr="0008666E">
        <w:rPr>
          <w:lang w:val="en-GB"/>
        </w:rPr>
        <w:t>No additional data on disability and tertiary education were identified at the national level</w:t>
      </w:r>
      <w:r w:rsidR="00A915A6" w:rsidRPr="0008666E">
        <w:rPr>
          <w:lang w:val="en-GB"/>
        </w:rPr>
        <w:t xml:space="preserve"> but </w:t>
      </w:r>
      <w:r w:rsidRPr="00003EC0">
        <w:rPr>
          <w:rFonts w:hAnsi="Arial" w:cs="Arial"/>
          <w:lang w:val="en-GB"/>
        </w:rPr>
        <w:t>administrative data were made available by the University of Malta and the Malta College of Arts, Science and Technology (MCAST) regarding the number of disabled students enrolled over the past years. These are as follows:</w:t>
      </w:r>
    </w:p>
    <w:p w14:paraId="601CB154" w14:textId="77777777" w:rsidR="00A34FBD" w:rsidRPr="00003EC0" w:rsidRDefault="00A34FBD" w:rsidP="00A34FBD">
      <w:pPr>
        <w:pStyle w:val="Body"/>
        <w:pBdr>
          <w:top w:val="none" w:sz="0" w:space="0" w:color="auto"/>
          <w:left w:val="none" w:sz="0" w:space="0" w:color="auto"/>
          <w:bottom w:val="none" w:sz="0" w:space="0" w:color="auto"/>
          <w:right w:val="none" w:sz="0" w:space="0" w:color="auto"/>
          <w:bar w:val="none" w:sz="0" w:color="auto"/>
        </w:pBdr>
        <w:spacing w:before="0" w:line="240" w:lineRule="auto"/>
        <w:jc w:val="both"/>
        <w:rPr>
          <w:rFonts w:hAnsi="Arial" w:cs="Arial"/>
          <w:lang w:val="en-GB"/>
        </w:rPr>
      </w:pPr>
    </w:p>
    <w:p w14:paraId="10F0566E" w14:textId="36943251" w:rsidR="00A915A6" w:rsidRDefault="00A915A6" w:rsidP="00A915A6">
      <w:pPr>
        <w:pStyle w:val="Caption"/>
        <w:keepNext/>
      </w:pPr>
      <w:bookmarkStart w:id="24" w:name="_Ref520900352"/>
      <w:r>
        <w:t xml:space="preserve">Table </w:t>
      </w:r>
      <w:r w:rsidR="002C6495">
        <w:rPr>
          <w:noProof/>
        </w:rPr>
        <w:fldChar w:fldCharType="begin"/>
      </w:r>
      <w:r w:rsidR="002C6495">
        <w:rPr>
          <w:noProof/>
        </w:rPr>
        <w:instrText xml:space="preserve"> SEQ Table \* ARABIC </w:instrText>
      </w:r>
      <w:r w:rsidR="002C6495">
        <w:rPr>
          <w:noProof/>
        </w:rPr>
        <w:fldChar w:fldCharType="separate"/>
      </w:r>
      <w:r w:rsidR="00FE3D2A">
        <w:rPr>
          <w:noProof/>
        </w:rPr>
        <w:t>17</w:t>
      </w:r>
      <w:r w:rsidR="002C6495">
        <w:rPr>
          <w:noProof/>
        </w:rPr>
        <w:fldChar w:fldCharType="end"/>
      </w:r>
      <w:bookmarkEnd w:id="24"/>
      <w:r>
        <w:t>: Disabled students enrolled at UoM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6"/>
        <w:gridCol w:w="2179"/>
        <w:gridCol w:w="2266"/>
        <w:gridCol w:w="2331"/>
      </w:tblGrid>
      <w:tr w:rsidR="00A34FBD" w:rsidRPr="00A915A6" w14:paraId="62B5A7E8" w14:textId="77777777" w:rsidTr="00A915A6">
        <w:tc>
          <w:tcPr>
            <w:tcW w:w="1334" w:type="pct"/>
            <w:shd w:val="clear" w:color="auto" w:fill="auto"/>
          </w:tcPr>
          <w:p w14:paraId="47CBBCC1" w14:textId="77777777" w:rsidR="00A34FBD" w:rsidRPr="00A915A6" w:rsidRDefault="00A34FBD" w:rsidP="005E12D9">
            <w:pPr>
              <w:pStyle w:val="Body"/>
              <w:pBdr>
                <w:top w:val="none" w:sz="0" w:space="0" w:color="auto"/>
                <w:left w:val="none" w:sz="0" w:space="0" w:color="auto"/>
                <w:bottom w:val="none" w:sz="0" w:space="0" w:color="auto"/>
                <w:right w:val="none" w:sz="0" w:space="0" w:color="auto"/>
                <w:bar w:val="none" w:sz="0" w:color="auto"/>
              </w:pBdr>
              <w:spacing w:before="0" w:line="240" w:lineRule="auto"/>
              <w:rPr>
                <w:rFonts w:hAnsi="Arial" w:cs="Arial"/>
                <w:b/>
                <w:bCs/>
                <w:sz w:val="20"/>
                <w:szCs w:val="20"/>
                <w:lang w:val="en-GB"/>
              </w:rPr>
            </w:pPr>
            <w:r w:rsidRPr="00A915A6">
              <w:rPr>
                <w:rFonts w:hAnsi="Arial" w:cs="Arial"/>
                <w:b/>
                <w:bCs/>
                <w:sz w:val="20"/>
                <w:szCs w:val="20"/>
                <w:lang w:val="en-GB"/>
              </w:rPr>
              <w:t>Year</w:t>
            </w:r>
          </w:p>
        </w:tc>
        <w:tc>
          <w:tcPr>
            <w:tcW w:w="1179" w:type="pct"/>
            <w:shd w:val="clear" w:color="auto" w:fill="auto"/>
          </w:tcPr>
          <w:p w14:paraId="6E151EC3" w14:textId="1554BA4C" w:rsidR="00A34FBD" w:rsidRPr="00A915A6" w:rsidRDefault="00A34FBD" w:rsidP="005E12D9">
            <w:pPr>
              <w:pStyle w:val="Body"/>
              <w:pBdr>
                <w:top w:val="none" w:sz="0" w:space="0" w:color="auto"/>
                <w:left w:val="none" w:sz="0" w:space="0" w:color="auto"/>
                <w:bottom w:val="none" w:sz="0" w:space="0" w:color="auto"/>
                <w:right w:val="none" w:sz="0" w:space="0" w:color="auto"/>
                <w:bar w:val="none" w:sz="0" w:color="auto"/>
              </w:pBdr>
              <w:spacing w:before="0" w:line="240" w:lineRule="auto"/>
              <w:rPr>
                <w:rFonts w:hAnsi="Arial" w:cs="Arial"/>
                <w:b/>
                <w:bCs/>
                <w:sz w:val="20"/>
                <w:szCs w:val="20"/>
                <w:lang w:val="en-GB"/>
              </w:rPr>
            </w:pPr>
            <w:r w:rsidRPr="00A915A6">
              <w:rPr>
                <w:rFonts w:hAnsi="Arial" w:cs="Arial"/>
                <w:b/>
                <w:bCs/>
                <w:sz w:val="20"/>
                <w:szCs w:val="20"/>
                <w:lang w:val="en-GB"/>
              </w:rPr>
              <w:t>Number of Disabled Students</w:t>
            </w:r>
            <w:r w:rsidR="00A915A6" w:rsidRPr="002C6495">
              <w:rPr>
                <w:rStyle w:val="FootnoteReference"/>
                <w:rFonts w:hAnsi="Arial" w:cs="Arial"/>
                <w:sz w:val="20"/>
                <w:szCs w:val="20"/>
                <w:lang w:val="en-GB"/>
              </w:rPr>
              <w:footnoteReference w:id="73"/>
            </w:r>
          </w:p>
        </w:tc>
        <w:tc>
          <w:tcPr>
            <w:tcW w:w="1226" w:type="pct"/>
            <w:shd w:val="clear" w:color="auto" w:fill="auto"/>
          </w:tcPr>
          <w:p w14:paraId="3B4A1933" w14:textId="326B02E2" w:rsidR="00A34FBD" w:rsidRPr="00A915A6" w:rsidRDefault="00BF79E5" w:rsidP="00BF79E5">
            <w:pPr>
              <w:pStyle w:val="Body"/>
              <w:pBdr>
                <w:top w:val="none" w:sz="0" w:space="0" w:color="auto"/>
                <w:left w:val="none" w:sz="0" w:space="0" w:color="auto"/>
                <w:bottom w:val="none" w:sz="0" w:space="0" w:color="auto"/>
                <w:right w:val="none" w:sz="0" w:space="0" w:color="auto"/>
                <w:bar w:val="none" w:sz="0" w:color="auto"/>
              </w:pBdr>
              <w:spacing w:before="0" w:line="240" w:lineRule="auto"/>
              <w:rPr>
                <w:rFonts w:hAnsi="Arial" w:cs="Arial"/>
                <w:b/>
                <w:bCs/>
                <w:sz w:val="20"/>
                <w:szCs w:val="20"/>
                <w:lang w:val="en-GB"/>
              </w:rPr>
            </w:pPr>
            <w:r w:rsidRPr="00A915A6">
              <w:rPr>
                <w:rFonts w:hAnsi="Arial" w:cs="Arial"/>
                <w:b/>
                <w:bCs/>
                <w:sz w:val="20"/>
                <w:szCs w:val="20"/>
                <w:lang w:val="en-GB"/>
              </w:rPr>
              <w:t xml:space="preserve">Total </w:t>
            </w:r>
            <w:r w:rsidR="00A34FBD" w:rsidRPr="00A915A6">
              <w:rPr>
                <w:rFonts w:hAnsi="Arial" w:cs="Arial"/>
                <w:b/>
                <w:bCs/>
                <w:sz w:val="20"/>
                <w:szCs w:val="20"/>
                <w:lang w:val="en-GB"/>
              </w:rPr>
              <w:t>Number of Students</w:t>
            </w:r>
          </w:p>
        </w:tc>
        <w:tc>
          <w:tcPr>
            <w:tcW w:w="1261" w:type="pct"/>
            <w:shd w:val="clear" w:color="auto" w:fill="auto"/>
          </w:tcPr>
          <w:p w14:paraId="24B584D5" w14:textId="77777777" w:rsidR="00A34FBD" w:rsidRPr="00A915A6" w:rsidRDefault="00A34FBD" w:rsidP="005E12D9">
            <w:pPr>
              <w:pStyle w:val="Body"/>
              <w:pBdr>
                <w:top w:val="none" w:sz="0" w:space="0" w:color="auto"/>
                <w:left w:val="none" w:sz="0" w:space="0" w:color="auto"/>
                <w:bottom w:val="none" w:sz="0" w:space="0" w:color="auto"/>
                <w:right w:val="none" w:sz="0" w:space="0" w:color="auto"/>
                <w:bar w:val="none" w:sz="0" w:color="auto"/>
              </w:pBdr>
              <w:spacing w:before="0" w:line="240" w:lineRule="auto"/>
              <w:rPr>
                <w:rFonts w:hAnsi="Arial" w:cs="Arial"/>
                <w:b/>
                <w:bCs/>
                <w:sz w:val="20"/>
                <w:szCs w:val="20"/>
                <w:lang w:val="en-GB"/>
              </w:rPr>
            </w:pPr>
            <w:r w:rsidRPr="00A915A6">
              <w:rPr>
                <w:rFonts w:hAnsi="Arial" w:cs="Arial"/>
                <w:b/>
                <w:bCs/>
                <w:sz w:val="20"/>
                <w:szCs w:val="20"/>
                <w:lang w:val="en-GB"/>
              </w:rPr>
              <w:t>% Disabled Students</w:t>
            </w:r>
          </w:p>
        </w:tc>
      </w:tr>
      <w:tr w:rsidR="00A34FBD" w:rsidRPr="00A915A6" w14:paraId="57F4023E" w14:textId="77777777" w:rsidTr="00A915A6">
        <w:tc>
          <w:tcPr>
            <w:tcW w:w="1334" w:type="pct"/>
            <w:shd w:val="clear" w:color="auto" w:fill="auto"/>
          </w:tcPr>
          <w:p w14:paraId="6DF768E3" w14:textId="77777777" w:rsidR="00A34FBD" w:rsidRPr="00A915A6" w:rsidRDefault="00A34FBD" w:rsidP="005E12D9">
            <w:pPr>
              <w:pStyle w:val="Body"/>
              <w:pBdr>
                <w:top w:val="none" w:sz="0" w:space="0" w:color="auto"/>
                <w:left w:val="none" w:sz="0" w:space="0" w:color="auto"/>
                <w:bottom w:val="none" w:sz="0" w:space="0" w:color="auto"/>
                <w:right w:val="none" w:sz="0" w:space="0" w:color="auto"/>
                <w:bar w:val="none" w:sz="0" w:color="auto"/>
              </w:pBdr>
              <w:spacing w:before="0" w:line="240" w:lineRule="auto"/>
              <w:rPr>
                <w:rFonts w:hAnsi="Arial" w:cs="Arial"/>
                <w:sz w:val="20"/>
                <w:szCs w:val="20"/>
                <w:lang w:val="en-GB"/>
              </w:rPr>
            </w:pPr>
            <w:r w:rsidRPr="00A915A6">
              <w:rPr>
                <w:rFonts w:hAnsi="Arial" w:cs="Arial"/>
                <w:sz w:val="20"/>
                <w:szCs w:val="20"/>
                <w:lang w:val="en-GB"/>
              </w:rPr>
              <w:t>2012-2013</w:t>
            </w:r>
          </w:p>
        </w:tc>
        <w:tc>
          <w:tcPr>
            <w:tcW w:w="1179" w:type="pct"/>
            <w:shd w:val="clear" w:color="auto" w:fill="auto"/>
          </w:tcPr>
          <w:p w14:paraId="477FC519" w14:textId="77777777" w:rsidR="00A34FBD" w:rsidRPr="00A915A6" w:rsidRDefault="00A34FBD" w:rsidP="00A915A6">
            <w:pPr>
              <w:pStyle w:val="Body"/>
              <w:pBdr>
                <w:top w:val="none" w:sz="0" w:space="0" w:color="auto"/>
                <w:left w:val="none" w:sz="0" w:space="0" w:color="auto"/>
                <w:bottom w:val="none" w:sz="0" w:space="0" w:color="auto"/>
                <w:right w:val="none" w:sz="0" w:space="0" w:color="auto"/>
                <w:bar w:val="none" w:sz="0" w:color="auto"/>
              </w:pBdr>
              <w:spacing w:before="0" w:line="240" w:lineRule="auto"/>
              <w:jc w:val="right"/>
              <w:rPr>
                <w:rFonts w:hAnsi="Arial" w:cs="Arial"/>
                <w:b/>
                <w:bCs/>
                <w:iCs/>
                <w:sz w:val="20"/>
                <w:szCs w:val="20"/>
                <w:lang w:val="en-GB"/>
              </w:rPr>
            </w:pPr>
            <w:r w:rsidRPr="00A915A6">
              <w:rPr>
                <w:rFonts w:hAnsi="Arial" w:cs="Arial"/>
                <w:sz w:val="20"/>
                <w:szCs w:val="20"/>
                <w:lang w:val="en-GB"/>
              </w:rPr>
              <w:t>155</w:t>
            </w:r>
          </w:p>
        </w:tc>
        <w:tc>
          <w:tcPr>
            <w:tcW w:w="1226" w:type="pct"/>
            <w:shd w:val="clear" w:color="auto" w:fill="auto"/>
          </w:tcPr>
          <w:p w14:paraId="0BB93B02" w14:textId="77777777" w:rsidR="00A34FBD" w:rsidRPr="00A915A6" w:rsidRDefault="00A34FBD" w:rsidP="00A915A6">
            <w:pPr>
              <w:pStyle w:val="Body"/>
              <w:pBdr>
                <w:top w:val="none" w:sz="0" w:space="0" w:color="auto"/>
                <w:left w:val="none" w:sz="0" w:space="0" w:color="auto"/>
                <w:bottom w:val="none" w:sz="0" w:space="0" w:color="auto"/>
                <w:right w:val="none" w:sz="0" w:space="0" w:color="auto"/>
                <w:bar w:val="none" w:sz="0" w:color="auto"/>
              </w:pBdr>
              <w:spacing w:before="0" w:line="240" w:lineRule="auto"/>
              <w:jc w:val="right"/>
              <w:rPr>
                <w:rFonts w:hAnsi="Arial" w:cs="Arial"/>
                <w:b/>
                <w:bCs/>
                <w:iCs/>
                <w:sz w:val="20"/>
                <w:szCs w:val="20"/>
                <w:lang w:val="en-GB"/>
              </w:rPr>
            </w:pPr>
            <w:r w:rsidRPr="00A915A6">
              <w:rPr>
                <w:rFonts w:hAnsi="Arial" w:cs="Arial"/>
                <w:sz w:val="20"/>
                <w:szCs w:val="20"/>
                <w:lang w:val="en-GB"/>
              </w:rPr>
              <w:t>10,997</w:t>
            </w:r>
          </w:p>
        </w:tc>
        <w:tc>
          <w:tcPr>
            <w:tcW w:w="1261" w:type="pct"/>
            <w:shd w:val="clear" w:color="auto" w:fill="auto"/>
          </w:tcPr>
          <w:p w14:paraId="5C1976EB" w14:textId="77777777" w:rsidR="00A34FBD" w:rsidRPr="00A915A6" w:rsidRDefault="00A34FBD" w:rsidP="00A915A6">
            <w:pPr>
              <w:pStyle w:val="Body"/>
              <w:pBdr>
                <w:top w:val="none" w:sz="0" w:space="0" w:color="auto"/>
                <w:left w:val="none" w:sz="0" w:space="0" w:color="auto"/>
                <w:bottom w:val="none" w:sz="0" w:space="0" w:color="auto"/>
                <w:right w:val="none" w:sz="0" w:space="0" w:color="auto"/>
                <w:bar w:val="none" w:sz="0" w:color="auto"/>
              </w:pBdr>
              <w:spacing w:before="0" w:line="240" w:lineRule="auto"/>
              <w:jc w:val="right"/>
              <w:rPr>
                <w:rFonts w:hAnsi="Arial" w:cs="Arial"/>
                <w:b/>
                <w:bCs/>
                <w:iCs/>
                <w:sz w:val="20"/>
                <w:szCs w:val="20"/>
                <w:lang w:val="en-GB"/>
              </w:rPr>
            </w:pPr>
            <w:r w:rsidRPr="00A915A6">
              <w:rPr>
                <w:rFonts w:hAnsi="Arial" w:cs="Arial"/>
                <w:sz w:val="20"/>
                <w:szCs w:val="20"/>
                <w:lang w:val="en-GB"/>
              </w:rPr>
              <w:t>1.41</w:t>
            </w:r>
          </w:p>
        </w:tc>
      </w:tr>
      <w:tr w:rsidR="00A34FBD" w:rsidRPr="00A915A6" w14:paraId="100C33FA" w14:textId="77777777" w:rsidTr="00A915A6">
        <w:tc>
          <w:tcPr>
            <w:tcW w:w="1334" w:type="pct"/>
            <w:shd w:val="clear" w:color="auto" w:fill="auto"/>
          </w:tcPr>
          <w:p w14:paraId="4706DB71" w14:textId="77777777" w:rsidR="00A34FBD" w:rsidRPr="00A915A6" w:rsidRDefault="00A34FBD" w:rsidP="005E12D9">
            <w:pPr>
              <w:pStyle w:val="Body"/>
              <w:pBdr>
                <w:top w:val="none" w:sz="0" w:space="0" w:color="auto"/>
                <w:left w:val="none" w:sz="0" w:space="0" w:color="auto"/>
                <w:bottom w:val="none" w:sz="0" w:space="0" w:color="auto"/>
                <w:right w:val="none" w:sz="0" w:space="0" w:color="auto"/>
                <w:bar w:val="none" w:sz="0" w:color="auto"/>
              </w:pBdr>
              <w:spacing w:before="0" w:line="240" w:lineRule="auto"/>
              <w:rPr>
                <w:rFonts w:hAnsi="Arial" w:cs="Arial"/>
                <w:sz w:val="20"/>
                <w:szCs w:val="20"/>
                <w:lang w:val="en-GB"/>
              </w:rPr>
            </w:pPr>
            <w:r w:rsidRPr="00A915A6">
              <w:rPr>
                <w:rFonts w:hAnsi="Arial" w:cs="Arial"/>
                <w:sz w:val="20"/>
                <w:szCs w:val="20"/>
                <w:lang w:val="en-GB"/>
              </w:rPr>
              <w:t>2013-2014</w:t>
            </w:r>
          </w:p>
        </w:tc>
        <w:tc>
          <w:tcPr>
            <w:tcW w:w="1179" w:type="pct"/>
            <w:shd w:val="clear" w:color="auto" w:fill="auto"/>
          </w:tcPr>
          <w:p w14:paraId="6D1D4C80" w14:textId="77777777" w:rsidR="00A34FBD" w:rsidRPr="00A915A6" w:rsidRDefault="00A34FBD" w:rsidP="00A915A6">
            <w:pPr>
              <w:pStyle w:val="Body"/>
              <w:pBdr>
                <w:top w:val="none" w:sz="0" w:space="0" w:color="auto"/>
                <w:left w:val="none" w:sz="0" w:space="0" w:color="auto"/>
                <w:bottom w:val="none" w:sz="0" w:space="0" w:color="auto"/>
                <w:right w:val="none" w:sz="0" w:space="0" w:color="auto"/>
                <w:bar w:val="none" w:sz="0" w:color="auto"/>
              </w:pBdr>
              <w:spacing w:before="0" w:line="240" w:lineRule="auto"/>
              <w:jc w:val="right"/>
              <w:rPr>
                <w:rFonts w:hAnsi="Arial" w:cs="Arial"/>
                <w:b/>
                <w:bCs/>
                <w:iCs/>
                <w:sz w:val="20"/>
                <w:szCs w:val="20"/>
                <w:lang w:val="en-GB"/>
              </w:rPr>
            </w:pPr>
            <w:r w:rsidRPr="00A915A6">
              <w:rPr>
                <w:rFonts w:hAnsi="Arial" w:cs="Arial"/>
                <w:sz w:val="20"/>
                <w:szCs w:val="20"/>
                <w:lang w:val="en-GB"/>
              </w:rPr>
              <w:t>157</w:t>
            </w:r>
          </w:p>
        </w:tc>
        <w:tc>
          <w:tcPr>
            <w:tcW w:w="1226" w:type="pct"/>
            <w:shd w:val="clear" w:color="auto" w:fill="auto"/>
          </w:tcPr>
          <w:p w14:paraId="180CAB29" w14:textId="77777777" w:rsidR="00A34FBD" w:rsidRPr="00A915A6" w:rsidRDefault="00A34FBD" w:rsidP="00A915A6">
            <w:pPr>
              <w:pStyle w:val="Body"/>
              <w:pBdr>
                <w:top w:val="none" w:sz="0" w:space="0" w:color="auto"/>
                <w:left w:val="none" w:sz="0" w:space="0" w:color="auto"/>
                <w:bottom w:val="none" w:sz="0" w:space="0" w:color="auto"/>
                <w:right w:val="none" w:sz="0" w:space="0" w:color="auto"/>
                <w:bar w:val="none" w:sz="0" w:color="auto"/>
              </w:pBdr>
              <w:spacing w:before="0" w:line="240" w:lineRule="auto"/>
              <w:jc w:val="right"/>
              <w:rPr>
                <w:rFonts w:hAnsi="Arial" w:cs="Arial"/>
                <w:b/>
                <w:bCs/>
                <w:iCs/>
                <w:sz w:val="20"/>
                <w:szCs w:val="20"/>
                <w:lang w:val="en-GB"/>
              </w:rPr>
            </w:pPr>
            <w:r w:rsidRPr="00A915A6">
              <w:rPr>
                <w:rFonts w:hAnsi="Arial" w:cs="Arial"/>
                <w:sz w:val="20"/>
                <w:szCs w:val="20"/>
                <w:lang w:val="en-GB"/>
              </w:rPr>
              <w:t>11,202</w:t>
            </w:r>
          </w:p>
        </w:tc>
        <w:tc>
          <w:tcPr>
            <w:tcW w:w="1261" w:type="pct"/>
            <w:shd w:val="clear" w:color="auto" w:fill="auto"/>
          </w:tcPr>
          <w:p w14:paraId="390F03A9" w14:textId="77777777" w:rsidR="00A34FBD" w:rsidRPr="00A915A6" w:rsidRDefault="00A34FBD" w:rsidP="00A915A6">
            <w:pPr>
              <w:pStyle w:val="Body"/>
              <w:pBdr>
                <w:top w:val="none" w:sz="0" w:space="0" w:color="auto"/>
                <w:left w:val="none" w:sz="0" w:space="0" w:color="auto"/>
                <w:bottom w:val="none" w:sz="0" w:space="0" w:color="auto"/>
                <w:right w:val="none" w:sz="0" w:space="0" w:color="auto"/>
                <w:bar w:val="none" w:sz="0" w:color="auto"/>
              </w:pBdr>
              <w:spacing w:before="0" w:line="240" w:lineRule="auto"/>
              <w:jc w:val="right"/>
              <w:rPr>
                <w:rFonts w:hAnsi="Arial" w:cs="Arial"/>
                <w:b/>
                <w:bCs/>
                <w:iCs/>
                <w:sz w:val="20"/>
                <w:szCs w:val="20"/>
                <w:lang w:val="en-GB"/>
              </w:rPr>
            </w:pPr>
            <w:r w:rsidRPr="00A915A6">
              <w:rPr>
                <w:rFonts w:hAnsi="Arial" w:cs="Arial"/>
                <w:sz w:val="20"/>
                <w:szCs w:val="20"/>
                <w:lang w:val="en-GB"/>
              </w:rPr>
              <w:t>1.40</w:t>
            </w:r>
          </w:p>
        </w:tc>
      </w:tr>
      <w:tr w:rsidR="00A34FBD" w:rsidRPr="00A915A6" w14:paraId="78EC7A00" w14:textId="77777777" w:rsidTr="00A915A6">
        <w:tc>
          <w:tcPr>
            <w:tcW w:w="1334" w:type="pct"/>
            <w:shd w:val="clear" w:color="auto" w:fill="auto"/>
          </w:tcPr>
          <w:p w14:paraId="3F32BF88" w14:textId="77777777" w:rsidR="00A34FBD" w:rsidRPr="00A915A6" w:rsidRDefault="00A34FBD" w:rsidP="005E12D9">
            <w:pPr>
              <w:pStyle w:val="Body"/>
              <w:pBdr>
                <w:top w:val="none" w:sz="0" w:space="0" w:color="auto"/>
                <w:left w:val="none" w:sz="0" w:space="0" w:color="auto"/>
                <w:bottom w:val="none" w:sz="0" w:space="0" w:color="auto"/>
                <w:right w:val="none" w:sz="0" w:space="0" w:color="auto"/>
                <w:bar w:val="none" w:sz="0" w:color="auto"/>
              </w:pBdr>
              <w:spacing w:before="0" w:line="240" w:lineRule="auto"/>
              <w:jc w:val="both"/>
              <w:rPr>
                <w:rFonts w:hAnsi="Arial" w:cs="Arial"/>
                <w:sz w:val="20"/>
                <w:szCs w:val="20"/>
                <w:lang w:val="en-GB"/>
              </w:rPr>
            </w:pPr>
            <w:r w:rsidRPr="00A915A6">
              <w:rPr>
                <w:rFonts w:hAnsi="Arial" w:cs="Arial"/>
                <w:sz w:val="20"/>
                <w:szCs w:val="20"/>
                <w:lang w:val="en-GB"/>
              </w:rPr>
              <w:t>2014-2015</w:t>
            </w:r>
          </w:p>
        </w:tc>
        <w:tc>
          <w:tcPr>
            <w:tcW w:w="1179" w:type="pct"/>
            <w:shd w:val="clear" w:color="auto" w:fill="auto"/>
          </w:tcPr>
          <w:p w14:paraId="18EAA9B6" w14:textId="77777777" w:rsidR="00A34FBD" w:rsidRPr="00A915A6" w:rsidRDefault="00A34FBD" w:rsidP="00A915A6">
            <w:pPr>
              <w:pStyle w:val="Body"/>
              <w:pBdr>
                <w:top w:val="none" w:sz="0" w:space="0" w:color="auto"/>
                <w:left w:val="none" w:sz="0" w:space="0" w:color="auto"/>
                <w:bottom w:val="none" w:sz="0" w:space="0" w:color="auto"/>
                <w:right w:val="none" w:sz="0" w:space="0" w:color="auto"/>
                <w:bar w:val="none" w:sz="0" w:color="auto"/>
              </w:pBdr>
              <w:spacing w:before="0" w:line="240" w:lineRule="auto"/>
              <w:jc w:val="right"/>
              <w:rPr>
                <w:rFonts w:hAnsi="Arial" w:cs="Arial"/>
                <w:b/>
                <w:bCs/>
                <w:iCs/>
                <w:sz w:val="20"/>
                <w:szCs w:val="20"/>
                <w:lang w:val="en-GB"/>
              </w:rPr>
            </w:pPr>
            <w:r w:rsidRPr="00A915A6">
              <w:rPr>
                <w:rFonts w:hAnsi="Arial" w:cs="Arial"/>
                <w:sz w:val="20"/>
                <w:szCs w:val="20"/>
                <w:lang w:val="en-GB"/>
              </w:rPr>
              <w:t>207</w:t>
            </w:r>
          </w:p>
        </w:tc>
        <w:tc>
          <w:tcPr>
            <w:tcW w:w="1226" w:type="pct"/>
            <w:shd w:val="clear" w:color="auto" w:fill="auto"/>
          </w:tcPr>
          <w:p w14:paraId="7D7D74C5" w14:textId="77777777" w:rsidR="00A34FBD" w:rsidRPr="00A915A6" w:rsidRDefault="00A34FBD" w:rsidP="00A915A6">
            <w:pPr>
              <w:pStyle w:val="Body"/>
              <w:pBdr>
                <w:top w:val="none" w:sz="0" w:space="0" w:color="auto"/>
                <w:left w:val="none" w:sz="0" w:space="0" w:color="auto"/>
                <w:bottom w:val="none" w:sz="0" w:space="0" w:color="auto"/>
                <w:right w:val="none" w:sz="0" w:space="0" w:color="auto"/>
                <w:bar w:val="none" w:sz="0" w:color="auto"/>
              </w:pBdr>
              <w:spacing w:before="0" w:line="240" w:lineRule="auto"/>
              <w:jc w:val="right"/>
              <w:rPr>
                <w:rFonts w:hAnsi="Arial" w:cs="Arial"/>
                <w:b/>
                <w:bCs/>
                <w:iCs/>
                <w:sz w:val="20"/>
                <w:szCs w:val="20"/>
                <w:lang w:val="en-GB"/>
              </w:rPr>
            </w:pPr>
            <w:r w:rsidRPr="00A915A6">
              <w:rPr>
                <w:rFonts w:hAnsi="Arial" w:cs="Arial"/>
                <w:sz w:val="20"/>
                <w:szCs w:val="20"/>
                <w:lang w:val="en-GB"/>
              </w:rPr>
              <w:t>11,451</w:t>
            </w:r>
          </w:p>
        </w:tc>
        <w:tc>
          <w:tcPr>
            <w:tcW w:w="1261" w:type="pct"/>
            <w:shd w:val="clear" w:color="auto" w:fill="auto"/>
          </w:tcPr>
          <w:p w14:paraId="50F5989C" w14:textId="77777777" w:rsidR="00A34FBD" w:rsidRPr="00A915A6" w:rsidRDefault="00A34FBD" w:rsidP="00A915A6">
            <w:pPr>
              <w:pStyle w:val="Body"/>
              <w:pBdr>
                <w:top w:val="none" w:sz="0" w:space="0" w:color="auto"/>
                <w:left w:val="none" w:sz="0" w:space="0" w:color="auto"/>
                <w:bottom w:val="none" w:sz="0" w:space="0" w:color="auto"/>
                <w:right w:val="none" w:sz="0" w:space="0" w:color="auto"/>
                <w:bar w:val="none" w:sz="0" w:color="auto"/>
              </w:pBdr>
              <w:spacing w:before="0" w:line="240" w:lineRule="auto"/>
              <w:jc w:val="right"/>
              <w:rPr>
                <w:rFonts w:hAnsi="Arial" w:cs="Arial"/>
                <w:b/>
                <w:bCs/>
                <w:iCs/>
                <w:sz w:val="20"/>
                <w:szCs w:val="20"/>
                <w:lang w:val="en-GB"/>
              </w:rPr>
            </w:pPr>
            <w:r w:rsidRPr="00A915A6">
              <w:rPr>
                <w:rFonts w:hAnsi="Arial" w:cs="Arial"/>
                <w:sz w:val="20"/>
                <w:szCs w:val="20"/>
                <w:lang w:val="en-GB"/>
              </w:rPr>
              <w:t>1.81</w:t>
            </w:r>
          </w:p>
        </w:tc>
      </w:tr>
      <w:tr w:rsidR="00A34FBD" w:rsidRPr="00A915A6" w14:paraId="5AEEEF55" w14:textId="77777777" w:rsidTr="00A915A6">
        <w:tc>
          <w:tcPr>
            <w:tcW w:w="1334" w:type="pct"/>
            <w:shd w:val="clear" w:color="auto" w:fill="auto"/>
          </w:tcPr>
          <w:p w14:paraId="23115055" w14:textId="77777777" w:rsidR="00A34FBD" w:rsidRPr="00A915A6" w:rsidRDefault="00A34FBD" w:rsidP="005E12D9">
            <w:pPr>
              <w:pStyle w:val="Body"/>
              <w:pBdr>
                <w:top w:val="none" w:sz="0" w:space="0" w:color="auto"/>
                <w:left w:val="none" w:sz="0" w:space="0" w:color="auto"/>
                <w:bottom w:val="none" w:sz="0" w:space="0" w:color="auto"/>
                <w:right w:val="none" w:sz="0" w:space="0" w:color="auto"/>
                <w:bar w:val="none" w:sz="0" w:color="auto"/>
              </w:pBdr>
              <w:spacing w:before="0" w:line="240" w:lineRule="auto"/>
              <w:rPr>
                <w:rFonts w:hAnsi="Arial" w:cs="Arial"/>
                <w:sz w:val="20"/>
                <w:szCs w:val="20"/>
                <w:lang w:val="en-GB"/>
              </w:rPr>
            </w:pPr>
            <w:r w:rsidRPr="00A915A6">
              <w:rPr>
                <w:rFonts w:hAnsi="Arial" w:cs="Arial"/>
                <w:sz w:val="20"/>
                <w:szCs w:val="20"/>
                <w:lang w:val="en-GB"/>
              </w:rPr>
              <w:t>2015-2016</w:t>
            </w:r>
          </w:p>
        </w:tc>
        <w:tc>
          <w:tcPr>
            <w:tcW w:w="1179" w:type="pct"/>
            <w:shd w:val="clear" w:color="auto" w:fill="auto"/>
          </w:tcPr>
          <w:p w14:paraId="6A4389F1" w14:textId="77777777" w:rsidR="00A34FBD" w:rsidRPr="00A915A6" w:rsidRDefault="00A34FBD" w:rsidP="00A915A6">
            <w:pPr>
              <w:pStyle w:val="Body"/>
              <w:pBdr>
                <w:top w:val="none" w:sz="0" w:space="0" w:color="auto"/>
                <w:left w:val="none" w:sz="0" w:space="0" w:color="auto"/>
                <w:bottom w:val="none" w:sz="0" w:space="0" w:color="auto"/>
                <w:right w:val="none" w:sz="0" w:space="0" w:color="auto"/>
                <w:bar w:val="none" w:sz="0" w:color="auto"/>
              </w:pBdr>
              <w:spacing w:before="0" w:line="240" w:lineRule="auto"/>
              <w:jc w:val="right"/>
              <w:rPr>
                <w:rFonts w:hAnsi="Arial" w:cs="Arial"/>
                <w:b/>
                <w:bCs/>
                <w:iCs/>
                <w:sz w:val="20"/>
                <w:szCs w:val="20"/>
                <w:lang w:val="en-GB"/>
              </w:rPr>
            </w:pPr>
            <w:r w:rsidRPr="00A915A6">
              <w:rPr>
                <w:rFonts w:hAnsi="Arial" w:cs="Arial"/>
                <w:sz w:val="20"/>
                <w:szCs w:val="20"/>
                <w:lang w:val="en-GB"/>
              </w:rPr>
              <w:t>229</w:t>
            </w:r>
          </w:p>
        </w:tc>
        <w:tc>
          <w:tcPr>
            <w:tcW w:w="1226" w:type="pct"/>
            <w:shd w:val="clear" w:color="auto" w:fill="auto"/>
          </w:tcPr>
          <w:p w14:paraId="3C0FE42D" w14:textId="049AB88B" w:rsidR="00A34FBD" w:rsidRPr="00A915A6" w:rsidRDefault="003B7414" w:rsidP="00A915A6">
            <w:pPr>
              <w:pStyle w:val="Body"/>
              <w:pBdr>
                <w:top w:val="none" w:sz="0" w:space="0" w:color="auto"/>
                <w:left w:val="none" w:sz="0" w:space="0" w:color="auto"/>
                <w:bottom w:val="none" w:sz="0" w:space="0" w:color="auto"/>
                <w:right w:val="none" w:sz="0" w:space="0" w:color="auto"/>
                <w:bar w:val="none" w:sz="0" w:color="auto"/>
              </w:pBdr>
              <w:spacing w:before="0" w:line="240" w:lineRule="auto"/>
              <w:jc w:val="right"/>
              <w:rPr>
                <w:rFonts w:hAnsi="Arial" w:cs="Arial"/>
                <w:sz w:val="20"/>
                <w:szCs w:val="20"/>
                <w:lang w:val="en-GB"/>
              </w:rPr>
            </w:pPr>
            <w:r w:rsidRPr="00A915A6">
              <w:rPr>
                <w:rFonts w:hAnsi="Arial" w:cs="Arial"/>
                <w:sz w:val="20"/>
                <w:szCs w:val="20"/>
                <w:lang w:val="en-GB"/>
              </w:rPr>
              <w:t>11,</w:t>
            </w:r>
            <w:r w:rsidR="00A34FBD" w:rsidRPr="00A915A6">
              <w:rPr>
                <w:rFonts w:hAnsi="Arial" w:cs="Arial"/>
                <w:sz w:val="20"/>
                <w:szCs w:val="20"/>
                <w:lang w:val="en-GB"/>
              </w:rPr>
              <w:t>627</w:t>
            </w:r>
          </w:p>
        </w:tc>
        <w:tc>
          <w:tcPr>
            <w:tcW w:w="1261" w:type="pct"/>
            <w:shd w:val="clear" w:color="auto" w:fill="auto"/>
          </w:tcPr>
          <w:p w14:paraId="48B17554" w14:textId="77777777" w:rsidR="00A34FBD" w:rsidRPr="00A915A6" w:rsidRDefault="00A34FBD" w:rsidP="00A915A6">
            <w:pPr>
              <w:pStyle w:val="Body"/>
              <w:pBdr>
                <w:top w:val="none" w:sz="0" w:space="0" w:color="auto"/>
                <w:left w:val="none" w:sz="0" w:space="0" w:color="auto"/>
                <w:bottom w:val="none" w:sz="0" w:space="0" w:color="auto"/>
                <w:right w:val="none" w:sz="0" w:space="0" w:color="auto"/>
                <w:bar w:val="none" w:sz="0" w:color="auto"/>
              </w:pBdr>
              <w:spacing w:before="0" w:line="240" w:lineRule="auto"/>
              <w:jc w:val="right"/>
              <w:rPr>
                <w:rFonts w:hAnsi="Arial" w:cs="Arial"/>
                <w:sz w:val="20"/>
                <w:szCs w:val="20"/>
                <w:lang w:val="en-GB"/>
              </w:rPr>
            </w:pPr>
            <w:r w:rsidRPr="00A915A6">
              <w:rPr>
                <w:rFonts w:hAnsi="Arial" w:cs="Arial"/>
                <w:sz w:val="20"/>
                <w:szCs w:val="20"/>
                <w:lang w:val="en-GB"/>
              </w:rPr>
              <w:t>1.97</w:t>
            </w:r>
          </w:p>
        </w:tc>
      </w:tr>
      <w:tr w:rsidR="00A34FBD" w:rsidRPr="00A915A6" w14:paraId="09E12BC8" w14:textId="77777777" w:rsidTr="00A915A6">
        <w:tc>
          <w:tcPr>
            <w:tcW w:w="1334" w:type="pct"/>
            <w:shd w:val="clear" w:color="auto" w:fill="auto"/>
          </w:tcPr>
          <w:p w14:paraId="1B60653A" w14:textId="77777777" w:rsidR="00A34FBD" w:rsidRPr="00A915A6" w:rsidRDefault="00A34FBD" w:rsidP="005E12D9">
            <w:pPr>
              <w:pStyle w:val="Body"/>
              <w:pBdr>
                <w:top w:val="none" w:sz="0" w:space="0" w:color="auto"/>
                <w:left w:val="none" w:sz="0" w:space="0" w:color="auto"/>
                <w:bottom w:val="none" w:sz="0" w:space="0" w:color="auto"/>
                <w:right w:val="none" w:sz="0" w:space="0" w:color="auto"/>
                <w:bar w:val="none" w:sz="0" w:color="auto"/>
              </w:pBdr>
              <w:spacing w:before="0" w:line="240" w:lineRule="auto"/>
              <w:rPr>
                <w:rFonts w:hAnsi="Arial" w:cs="Arial"/>
                <w:sz w:val="20"/>
                <w:szCs w:val="20"/>
                <w:lang w:val="en-GB"/>
              </w:rPr>
            </w:pPr>
            <w:r w:rsidRPr="00A915A6">
              <w:rPr>
                <w:rFonts w:hAnsi="Arial" w:cs="Arial"/>
                <w:sz w:val="20"/>
                <w:szCs w:val="20"/>
                <w:lang w:val="en-GB"/>
              </w:rPr>
              <w:t>2016-2017</w:t>
            </w:r>
          </w:p>
        </w:tc>
        <w:tc>
          <w:tcPr>
            <w:tcW w:w="1179" w:type="pct"/>
            <w:shd w:val="clear" w:color="auto" w:fill="auto"/>
          </w:tcPr>
          <w:p w14:paraId="5C181146" w14:textId="77777777" w:rsidR="00A34FBD" w:rsidRPr="00A915A6" w:rsidRDefault="00A34FBD" w:rsidP="00A915A6">
            <w:pPr>
              <w:pStyle w:val="Body"/>
              <w:pBdr>
                <w:top w:val="none" w:sz="0" w:space="0" w:color="auto"/>
                <w:left w:val="none" w:sz="0" w:space="0" w:color="auto"/>
                <w:bottom w:val="none" w:sz="0" w:space="0" w:color="auto"/>
                <w:right w:val="none" w:sz="0" w:space="0" w:color="auto"/>
                <w:bar w:val="none" w:sz="0" w:color="auto"/>
              </w:pBdr>
              <w:spacing w:before="0" w:line="240" w:lineRule="auto"/>
              <w:jc w:val="right"/>
              <w:rPr>
                <w:rFonts w:hAnsi="Arial" w:cs="Arial"/>
                <w:sz w:val="20"/>
                <w:szCs w:val="20"/>
                <w:lang w:val="en-GB"/>
              </w:rPr>
            </w:pPr>
            <w:r w:rsidRPr="00A915A6">
              <w:rPr>
                <w:rFonts w:hAnsi="Arial" w:cs="Arial"/>
                <w:sz w:val="20"/>
                <w:szCs w:val="20"/>
                <w:lang w:val="en-GB"/>
              </w:rPr>
              <w:t>265</w:t>
            </w:r>
          </w:p>
        </w:tc>
        <w:tc>
          <w:tcPr>
            <w:tcW w:w="1226" w:type="pct"/>
            <w:shd w:val="clear" w:color="auto" w:fill="auto"/>
          </w:tcPr>
          <w:p w14:paraId="225B94E8" w14:textId="77777777" w:rsidR="00A34FBD" w:rsidRPr="00A915A6" w:rsidRDefault="00A34FBD" w:rsidP="00A915A6">
            <w:pPr>
              <w:pStyle w:val="Body"/>
              <w:pBdr>
                <w:top w:val="none" w:sz="0" w:space="0" w:color="auto"/>
                <w:left w:val="none" w:sz="0" w:space="0" w:color="auto"/>
                <w:bottom w:val="none" w:sz="0" w:space="0" w:color="auto"/>
                <w:right w:val="none" w:sz="0" w:space="0" w:color="auto"/>
                <w:bar w:val="none" w:sz="0" w:color="auto"/>
              </w:pBdr>
              <w:spacing w:before="0" w:line="240" w:lineRule="auto"/>
              <w:jc w:val="right"/>
              <w:rPr>
                <w:rFonts w:hAnsi="Arial" w:cs="Arial"/>
                <w:sz w:val="20"/>
                <w:szCs w:val="20"/>
                <w:lang w:val="en-GB"/>
              </w:rPr>
            </w:pPr>
            <w:r w:rsidRPr="00A915A6">
              <w:rPr>
                <w:rFonts w:hAnsi="Arial" w:cs="Arial"/>
                <w:sz w:val="20"/>
                <w:szCs w:val="20"/>
                <w:lang w:val="en-GB"/>
              </w:rPr>
              <w:t>11,500</w:t>
            </w:r>
          </w:p>
        </w:tc>
        <w:tc>
          <w:tcPr>
            <w:tcW w:w="1261" w:type="pct"/>
            <w:shd w:val="clear" w:color="auto" w:fill="auto"/>
          </w:tcPr>
          <w:p w14:paraId="2E6C4008" w14:textId="77777777" w:rsidR="00A34FBD" w:rsidRPr="00A915A6" w:rsidRDefault="00A34FBD" w:rsidP="00A915A6">
            <w:pPr>
              <w:pStyle w:val="Body"/>
              <w:pBdr>
                <w:top w:val="none" w:sz="0" w:space="0" w:color="auto"/>
                <w:left w:val="none" w:sz="0" w:space="0" w:color="auto"/>
                <w:bottom w:val="none" w:sz="0" w:space="0" w:color="auto"/>
                <w:right w:val="none" w:sz="0" w:space="0" w:color="auto"/>
                <w:bar w:val="none" w:sz="0" w:color="auto"/>
              </w:pBdr>
              <w:spacing w:before="0" w:line="240" w:lineRule="auto"/>
              <w:jc w:val="right"/>
              <w:rPr>
                <w:rFonts w:hAnsi="Arial" w:cs="Arial"/>
                <w:sz w:val="20"/>
                <w:szCs w:val="20"/>
                <w:lang w:val="en-GB"/>
              </w:rPr>
            </w:pPr>
            <w:r w:rsidRPr="00A915A6">
              <w:rPr>
                <w:rFonts w:hAnsi="Arial" w:cs="Arial"/>
                <w:sz w:val="20"/>
                <w:szCs w:val="20"/>
                <w:lang w:val="en-GB"/>
              </w:rPr>
              <w:t>2.25</w:t>
            </w:r>
          </w:p>
        </w:tc>
      </w:tr>
      <w:tr w:rsidR="00A34FBD" w:rsidRPr="00A915A6" w14:paraId="72AF3CB7" w14:textId="77777777" w:rsidTr="00A915A6">
        <w:tc>
          <w:tcPr>
            <w:tcW w:w="1334" w:type="pct"/>
            <w:shd w:val="clear" w:color="auto" w:fill="auto"/>
          </w:tcPr>
          <w:p w14:paraId="6F369428" w14:textId="47B93B88" w:rsidR="00A34FBD" w:rsidRPr="00A915A6" w:rsidRDefault="00A34FBD" w:rsidP="005E12D9">
            <w:pPr>
              <w:pStyle w:val="Body"/>
              <w:pBdr>
                <w:top w:val="none" w:sz="0" w:space="0" w:color="auto"/>
                <w:left w:val="none" w:sz="0" w:space="0" w:color="auto"/>
                <w:bottom w:val="none" w:sz="0" w:space="0" w:color="auto"/>
                <w:right w:val="none" w:sz="0" w:space="0" w:color="auto"/>
                <w:bar w:val="none" w:sz="0" w:color="auto"/>
              </w:pBdr>
              <w:spacing w:before="0" w:line="240" w:lineRule="auto"/>
              <w:rPr>
                <w:rFonts w:hAnsi="Arial" w:cs="Arial"/>
                <w:sz w:val="20"/>
                <w:szCs w:val="20"/>
                <w:lang w:val="en-GB"/>
              </w:rPr>
            </w:pPr>
            <w:r w:rsidRPr="00A915A6">
              <w:rPr>
                <w:rFonts w:hAnsi="Arial" w:cs="Arial"/>
                <w:sz w:val="20"/>
                <w:szCs w:val="20"/>
                <w:lang w:val="en-GB"/>
              </w:rPr>
              <w:t>2017-2018</w:t>
            </w:r>
          </w:p>
        </w:tc>
        <w:tc>
          <w:tcPr>
            <w:tcW w:w="1179" w:type="pct"/>
            <w:shd w:val="clear" w:color="auto" w:fill="auto"/>
          </w:tcPr>
          <w:p w14:paraId="1BDEC403" w14:textId="46FD9DBE" w:rsidR="00A34FBD" w:rsidRPr="00A915A6" w:rsidRDefault="00095BE3" w:rsidP="00A915A6">
            <w:pPr>
              <w:pStyle w:val="Body"/>
              <w:pBdr>
                <w:top w:val="none" w:sz="0" w:space="0" w:color="auto"/>
                <w:left w:val="none" w:sz="0" w:space="0" w:color="auto"/>
                <w:bottom w:val="none" w:sz="0" w:space="0" w:color="auto"/>
                <w:right w:val="none" w:sz="0" w:space="0" w:color="auto"/>
                <w:bar w:val="none" w:sz="0" w:color="auto"/>
              </w:pBdr>
              <w:spacing w:before="0" w:line="240" w:lineRule="auto"/>
              <w:jc w:val="right"/>
              <w:rPr>
                <w:rFonts w:hAnsi="Arial" w:cs="Arial"/>
                <w:sz w:val="20"/>
                <w:szCs w:val="20"/>
                <w:lang w:val="en-GB"/>
              </w:rPr>
            </w:pPr>
            <w:r w:rsidRPr="00A915A6">
              <w:rPr>
                <w:rFonts w:hAnsi="Arial" w:cs="Arial"/>
                <w:sz w:val="20"/>
                <w:szCs w:val="20"/>
                <w:lang w:val="en-GB"/>
              </w:rPr>
              <w:t>310</w:t>
            </w:r>
          </w:p>
        </w:tc>
        <w:tc>
          <w:tcPr>
            <w:tcW w:w="1226" w:type="pct"/>
            <w:shd w:val="clear" w:color="auto" w:fill="auto"/>
          </w:tcPr>
          <w:p w14:paraId="4C1255C5" w14:textId="1B361102" w:rsidR="00A34FBD" w:rsidRPr="00A915A6" w:rsidRDefault="00095BE3" w:rsidP="00A915A6">
            <w:pPr>
              <w:pStyle w:val="Body"/>
              <w:pBdr>
                <w:top w:val="none" w:sz="0" w:space="0" w:color="auto"/>
                <w:left w:val="none" w:sz="0" w:space="0" w:color="auto"/>
                <w:bottom w:val="none" w:sz="0" w:space="0" w:color="auto"/>
                <w:right w:val="none" w:sz="0" w:space="0" w:color="auto"/>
                <w:bar w:val="none" w:sz="0" w:color="auto"/>
              </w:pBdr>
              <w:spacing w:before="0" w:line="240" w:lineRule="auto"/>
              <w:jc w:val="right"/>
              <w:rPr>
                <w:rFonts w:hAnsi="Arial" w:cs="Arial"/>
                <w:sz w:val="20"/>
                <w:szCs w:val="20"/>
                <w:lang w:val="en-GB"/>
              </w:rPr>
            </w:pPr>
            <w:r w:rsidRPr="00A915A6">
              <w:rPr>
                <w:rFonts w:hAnsi="Arial" w:cs="Arial"/>
                <w:sz w:val="20"/>
                <w:szCs w:val="20"/>
                <w:lang w:val="en-GB"/>
              </w:rPr>
              <w:t>11,500</w:t>
            </w:r>
          </w:p>
        </w:tc>
        <w:tc>
          <w:tcPr>
            <w:tcW w:w="1261" w:type="pct"/>
            <w:shd w:val="clear" w:color="auto" w:fill="auto"/>
          </w:tcPr>
          <w:p w14:paraId="7671469F" w14:textId="459C603E" w:rsidR="00A34FBD" w:rsidRPr="00A915A6" w:rsidRDefault="00A0007F" w:rsidP="00A915A6">
            <w:pPr>
              <w:pStyle w:val="Body"/>
              <w:pBdr>
                <w:top w:val="none" w:sz="0" w:space="0" w:color="auto"/>
                <w:left w:val="none" w:sz="0" w:space="0" w:color="auto"/>
                <w:bottom w:val="none" w:sz="0" w:space="0" w:color="auto"/>
                <w:right w:val="none" w:sz="0" w:space="0" w:color="auto"/>
                <w:bar w:val="none" w:sz="0" w:color="auto"/>
              </w:pBdr>
              <w:spacing w:before="0" w:line="240" w:lineRule="auto"/>
              <w:jc w:val="right"/>
              <w:rPr>
                <w:rFonts w:hAnsi="Arial" w:cs="Arial"/>
                <w:sz w:val="20"/>
                <w:szCs w:val="20"/>
                <w:lang w:val="en-GB"/>
              </w:rPr>
            </w:pPr>
            <w:r w:rsidRPr="00A915A6">
              <w:rPr>
                <w:rFonts w:hAnsi="Arial" w:cs="Arial"/>
                <w:sz w:val="20"/>
                <w:szCs w:val="20"/>
                <w:lang w:val="en-GB"/>
              </w:rPr>
              <w:t>2.69</w:t>
            </w:r>
          </w:p>
        </w:tc>
      </w:tr>
    </w:tbl>
    <w:p w14:paraId="1E5945F7" w14:textId="3E14A2D3" w:rsidR="00A34FBD" w:rsidRPr="00A915A6" w:rsidRDefault="00A34FBD" w:rsidP="00095BE3">
      <w:pPr>
        <w:pStyle w:val="Body"/>
        <w:pBdr>
          <w:top w:val="none" w:sz="0" w:space="0" w:color="auto"/>
          <w:left w:val="none" w:sz="0" w:space="0" w:color="auto"/>
          <w:bottom w:val="none" w:sz="0" w:space="0" w:color="auto"/>
          <w:right w:val="none" w:sz="0" w:space="0" w:color="auto"/>
          <w:bar w:val="none" w:sz="0" w:color="auto"/>
        </w:pBdr>
        <w:spacing w:before="0" w:line="240" w:lineRule="auto"/>
        <w:rPr>
          <w:rFonts w:eastAsia="SimSun" w:hAnsi="Arial" w:cs="Arial"/>
          <w:b/>
          <w:bCs/>
          <w:i/>
          <w:color w:val="auto"/>
          <w:sz w:val="20"/>
          <w:szCs w:val="20"/>
          <w:lang w:val="en-GB"/>
        </w:rPr>
      </w:pPr>
      <w:r w:rsidRPr="00A915A6">
        <w:rPr>
          <w:rFonts w:hAnsi="Arial" w:cs="Arial"/>
          <w:i/>
          <w:sz w:val="20"/>
          <w:szCs w:val="20"/>
          <w:lang w:val="en-GB"/>
        </w:rPr>
        <w:t>So</w:t>
      </w:r>
      <w:r w:rsidR="009F7CA6" w:rsidRPr="00A915A6">
        <w:rPr>
          <w:rFonts w:hAnsi="Arial" w:cs="Arial"/>
          <w:i/>
          <w:sz w:val="20"/>
          <w:szCs w:val="20"/>
          <w:lang w:val="en-GB"/>
        </w:rPr>
        <w:t>urces</w:t>
      </w:r>
      <w:r w:rsidR="00095BE3" w:rsidRPr="00A915A6">
        <w:rPr>
          <w:rFonts w:hAnsi="Arial" w:cs="Arial"/>
          <w:i/>
          <w:sz w:val="20"/>
          <w:szCs w:val="20"/>
          <w:lang w:val="en-GB"/>
        </w:rPr>
        <w:t>: University of Malta, 2018</w:t>
      </w:r>
      <w:r w:rsidRPr="00A915A6">
        <w:rPr>
          <w:rFonts w:hAnsi="Arial" w:cs="Arial"/>
          <w:i/>
          <w:sz w:val="20"/>
          <w:szCs w:val="20"/>
          <w:lang w:val="en-GB"/>
        </w:rPr>
        <w:t>. Facts and Figures.</w:t>
      </w:r>
      <w:r w:rsidR="009F7CA6" w:rsidRPr="00A915A6">
        <w:rPr>
          <w:rFonts w:hAnsi="Arial" w:cs="Arial"/>
          <w:i/>
          <w:sz w:val="20"/>
          <w:szCs w:val="20"/>
          <w:lang w:val="en-GB"/>
        </w:rPr>
        <w:t xml:space="preserve"> </w:t>
      </w:r>
      <w:hyperlink r:id="rId24" w:history="1">
        <w:r w:rsidRPr="00A915A6">
          <w:rPr>
            <w:rStyle w:val="Hyperlink"/>
            <w:rFonts w:hAnsi="Arial" w:cs="Arial"/>
            <w:i/>
            <w:sz w:val="20"/>
            <w:szCs w:val="20"/>
            <w:lang w:val="en-GB"/>
          </w:rPr>
          <w:t>https://www.um.edu.mt/about/uom/facts</w:t>
        </w:r>
      </w:hyperlink>
      <w:r w:rsidR="009F7CA6" w:rsidRPr="00A915A6">
        <w:rPr>
          <w:rFonts w:hAnsi="Arial" w:cs="Arial"/>
          <w:i/>
          <w:sz w:val="20"/>
          <w:szCs w:val="20"/>
          <w:lang w:val="en-GB"/>
        </w:rPr>
        <w:t xml:space="preserve">; Access Disability Support Unit (University of Malta), 2018. Personal Communication. </w:t>
      </w:r>
    </w:p>
    <w:p w14:paraId="1415F57A" w14:textId="77777777" w:rsidR="00FC0C6B" w:rsidRPr="00003EC0" w:rsidRDefault="00FC0C6B" w:rsidP="00A34FBD">
      <w:pPr>
        <w:pStyle w:val="Body"/>
        <w:pBdr>
          <w:top w:val="none" w:sz="0" w:space="0" w:color="auto"/>
          <w:left w:val="none" w:sz="0" w:space="0" w:color="auto"/>
          <w:bottom w:val="none" w:sz="0" w:space="0" w:color="auto"/>
          <w:right w:val="none" w:sz="0" w:space="0" w:color="auto"/>
          <w:bar w:val="none" w:sz="0" w:color="auto"/>
        </w:pBdr>
        <w:spacing w:before="0" w:line="240" w:lineRule="auto"/>
        <w:jc w:val="both"/>
        <w:rPr>
          <w:rFonts w:eastAsia="SimSun" w:hAnsi="Arial" w:cs="Arial"/>
          <w:b/>
          <w:bCs/>
          <w:i/>
          <w:color w:val="auto"/>
          <w:lang w:val="en-GB"/>
        </w:rPr>
      </w:pPr>
    </w:p>
    <w:p w14:paraId="2CBBE95C" w14:textId="5DEE8276" w:rsidR="00A915A6" w:rsidRDefault="00A915A6" w:rsidP="00A915A6">
      <w:pPr>
        <w:pStyle w:val="Caption"/>
        <w:keepNext/>
      </w:pPr>
      <w:bookmarkStart w:id="25" w:name="_Ref520900370"/>
      <w:r>
        <w:t xml:space="preserve">Table </w:t>
      </w:r>
      <w:r w:rsidR="002C6495">
        <w:rPr>
          <w:noProof/>
        </w:rPr>
        <w:fldChar w:fldCharType="begin"/>
      </w:r>
      <w:r w:rsidR="002C6495">
        <w:rPr>
          <w:noProof/>
        </w:rPr>
        <w:instrText xml:space="preserve"> SEQ Table \* ARABIC </w:instrText>
      </w:r>
      <w:r w:rsidR="002C6495">
        <w:rPr>
          <w:noProof/>
        </w:rPr>
        <w:fldChar w:fldCharType="separate"/>
      </w:r>
      <w:r w:rsidR="00FE3D2A">
        <w:rPr>
          <w:noProof/>
        </w:rPr>
        <w:t>18</w:t>
      </w:r>
      <w:r w:rsidR="002C6495">
        <w:rPr>
          <w:noProof/>
        </w:rPr>
        <w:fldChar w:fldCharType="end"/>
      </w:r>
      <w:bookmarkEnd w:id="25"/>
      <w:r>
        <w:t>: Disabled students enrolled at MCAST</w:t>
      </w:r>
    </w:p>
    <w:tbl>
      <w:tblPr>
        <w:tblStyle w:val="TableGrid"/>
        <w:tblW w:w="5000" w:type="pct"/>
        <w:tblLook w:val="04A0" w:firstRow="1" w:lastRow="0" w:firstColumn="1" w:lastColumn="0" w:noHBand="0" w:noVBand="1"/>
      </w:tblPr>
      <w:tblGrid>
        <w:gridCol w:w="2310"/>
        <w:gridCol w:w="2310"/>
        <w:gridCol w:w="2311"/>
        <w:gridCol w:w="2311"/>
      </w:tblGrid>
      <w:tr w:rsidR="00A34FBD" w:rsidRPr="00A915A6" w14:paraId="23A933E9" w14:textId="77777777" w:rsidTr="00A915A6">
        <w:tc>
          <w:tcPr>
            <w:tcW w:w="1250" w:type="pct"/>
          </w:tcPr>
          <w:p w14:paraId="15CC1A1E" w14:textId="77777777" w:rsidR="00A34FBD" w:rsidRPr="00A915A6" w:rsidRDefault="00A34FBD" w:rsidP="005E12D9">
            <w:pPr>
              <w:pStyle w:val="Body"/>
              <w:pBdr>
                <w:top w:val="none" w:sz="0" w:space="0" w:color="auto"/>
                <w:left w:val="none" w:sz="0" w:space="0" w:color="auto"/>
                <w:bottom w:val="none" w:sz="0" w:space="0" w:color="auto"/>
                <w:right w:val="none" w:sz="0" w:space="0" w:color="auto"/>
                <w:bar w:val="none" w:sz="0" w:color="auto"/>
              </w:pBdr>
              <w:spacing w:before="0"/>
              <w:rPr>
                <w:rFonts w:eastAsia="SimSun" w:hAnsi="Arial" w:cs="Arial"/>
                <w:b/>
                <w:color w:val="auto"/>
                <w:sz w:val="20"/>
                <w:szCs w:val="20"/>
                <w:lang w:val="en-GB"/>
              </w:rPr>
            </w:pPr>
            <w:r w:rsidRPr="00A915A6">
              <w:rPr>
                <w:rFonts w:eastAsia="SimSun" w:hAnsi="Arial" w:cs="Arial"/>
                <w:b/>
                <w:color w:val="auto"/>
                <w:sz w:val="20"/>
                <w:szCs w:val="20"/>
                <w:lang w:val="en-GB"/>
              </w:rPr>
              <w:t>Year</w:t>
            </w:r>
          </w:p>
        </w:tc>
        <w:tc>
          <w:tcPr>
            <w:tcW w:w="1250" w:type="pct"/>
          </w:tcPr>
          <w:p w14:paraId="5212A546" w14:textId="77777777" w:rsidR="00A34FBD" w:rsidRPr="00A915A6" w:rsidRDefault="00A34FBD" w:rsidP="005E12D9">
            <w:pPr>
              <w:pStyle w:val="Body"/>
              <w:pBdr>
                <w:top w:val="none" w:sz="0" w:space="0" w:color="auto"/>
                <w:left w:val="none" w:sz="0" w:space="0" w:color="auto"/>
                <w:bottom w:val="none" w:sz="0" w:space="0" w:color="auto"/>
                <w:right w:val="none" w:sz="0" w:space="0" w:color="auto"/>
                <w:bar w:val="none" w:sz="0" w:color="auto"/>
              </w:pBdr>
              <w:spacing w:before="0"/>
              <w:rPr>
                <w:rFonts w:eastAsia="SimSun" w:hAnsi="Arial" w:cs="Arial"/>
                <w:b/>
                <w:color w:val="auto"/>
                <w:sz w:val="20"/>
                <w:szCs w:val="20"/>
                <w:lang w:val="en-GB"/>
              </w:rPr>
            </w:pPr>
            <w:r w:rsidRPr="00A915A6">
              <w:rPr>
                <w:rFonts w:eastAsia="SimSun" w:hAnsi="Arial" w:cs="Arial"/>
                <w:b/>
                <w:color w:val="auto"/>
                <w:sz w:val="20"/>
                <w:szCs w:val="20"/>
                <w:lang w:val="en-GB"/>
              </w:rPr>
              <w:t>Number of Disabled Students</w:t>
            </w:r>
          </w:p>
        </w:tc>
        <w:tc>
          <w:tcPr>
            <w:tcW w:w="1250" w:type="pct"/>
          </w:tcPr>
          <w:p w14:paraId="305B46FF" w14:textId="6BB89230" w:rsidR="00A34FBD" w:rsidRPr="00A915A6" w:rsidRDefault="00BF79E5" w:rsidP="00BF79E5">
            <w:pPr>
              <w:pStyle w:val="Body"/>
              <w:pBdr>
                <w:top w:val="none" w:sz="0" w:space="0" w:color="auto"/>
                <w:left w:val="none" w:sz="0" w:space="0" w:color="auto"/>
                <w:bottom w:val="none" w:sz="0" w:space="0" w:color="auto"/>
                <w:right w:val="none" w:sz="0" w:space="0" w:color="auto"/>
                <w:bar w:val="none" w:sz="0" w:color="auto"/>
              </w:pBdr>
              <w:spacing w:before="0"/>
              <w:rPr>
                <w:rFonts w:eastAsia="SimSun" w:hAnsi="Arial" w:cs="Arial"/>
                <w:b/>
                <w:color w:val="auto"/>
                <w:sz w:val="20"/>
                <w:szCs w:val="20"/>
                <w:lang w:val="en-GB"/>
              </w:rPr>
            </w:pPr>
            <w:r w:rsidRPr="00A915A6">
              <w:rPr>
                <w:rFonts w:eastAsia="SimSun" w:hAnsi="Arial" w:cs="Arial"/>
                <w:b/>
                <w:color w:val="auto"/>
                <w:sz w:val="20"/>
                <w:szCs w:val="20"/>
                <w:lang w:val="en-GB"/>
              </w:rPr>
              <w:t xml:space="preserve">Total </w:t>
            </w:r>
            <w:r w:rsidR="00A34FBD" w:rsidRPr="00A915A6">
              <w:rPr>
                <w:rFonts w:eastAsia="SimSun" w:hAnsi="Arial" w:cs="Arial"/>
                <w:b/>
                <w:color w:val="auto"/>
                <w:sz w:val="20"/>
                <w:szCs w:val="20"/>
                <w:lang w:val="en-GB"/>
              </w:rPr>
              <w:t>Number of Students</w:t>
            </w:r>
          </w:p>
        </w:tc>
        <w:tc>
          <w:tcPr>
            <w:tcW w:w="1250" w:type="pct"/>
          </w:tcPr>
          <w:p w14:paraId="38BF72F0" w14:textId="77777777" w:rsidR="00A34FBD" w:rsidRPr="00A915A6" w:rsidRDefault="00A34FBD" w:rsidP="005E12D9">
            <w:pPr>
              <w:pStyle w:val="Body"/>
              <w:pBdr>
                <w:top w:val="none" w:sz="0" w:space="0" w:color="auto"/>
                <w:left w:val="none" w:sz="0" w:space="0" w:color="auto"/>
                <w:bottom w:val="none" w:sz="0" w:space="0" w:color="auto"/>
                <w:right w:val="none" w:sz="0" w:space="0" w:color="auto"/>
                <w:bar w:val="none" w:sz="0" w:color="auto"/>
              </w:pBdr>
              <w:spacing w:before="0"/>
              <w:rPr>
                <w:rFonts w:eastAsia="SimSun" w:hAnsi="Arial" w:cs="Arial"/>
                <w:b/>
                <w:color w:val="auto"/>
                <w:sz w:val="20"/>
                <w:szCs w:val="20"/>
                <w:lang w:val="en-GB"/>
              </w:rPr>
            </w:pPr>
            <w:r w:rsidRPr="00A915A6">
              <w:rPr>
                <w:rFonts w:eastAsia="SimSun" w:hAnsi="Arial" w:cs="Arial"/>
                <w:b/>
                <w:color w:val="auto"/>
                <w:sz w:val="20"/>
                <w:szCs w:val="20"/>
                <w:lang w:val="en-GB"/>
              </w:rPr>
              <w:t>% Disabled Students</w:t>
            </w:r>
          </w:p>
        </w:tc>
      </w:tr>
      <w:tr w:rsidR="00A34FBD" w:rsidRPr="00A915A6" w14:paraId="302FEA60" w14:textId="77777777" w:rsidTr="00A915A6">
        <w:tc>
          <w:tcPr>
            <w:tcW w:w="1250" w:type="pct"/>
          </w:tcPr>
          <w:p w14:paraId="2D393981" w14:textId="77777777" w:rsidR="00A34FBD" w:rsidRPr="00A915A6" w:rsidRDefault="00A34FBD" w:rsidP="005E12D9">
            <w:pPr>
              <w:pStyle w:val="Body"/>
              <w:pBdr>
                <w:top w:val="none" w:sz="0" w:space="0" w:color="auto"/>
                <w:left w:val="none" w:sz="0" w:space="0" w:color="auto"/>
                <w:bottom w:val="none" w:sz="0" w:space="0" w:color="auto"/>
                <w:right w:val="none" w:sz="0" w:space="0" w:color="auto"/>
                <w:bar w:val="none" w:sz="0" w:color="auto"/>
              </w:pBdr>
              <w:spacing w:before="0"/>
              <w:rPr>
                <w:rFonts w:eastAsia="SimSun" w:hAnsi="Arial" w:cs="Arial"/>
                <w:bCs/>
                <w:color w:val="auto"/>
                <w:sz w:val="20"/>
                <w:szCs w:val="20"/>
                <w:lang w:val="en-GB"/>
              </w:rPr>
            </w:pPr>
            <w:r w:rsidRPr="00A915A6">
              <w:rPr>
                <w:rFonts w:eastAsia="SimSun" w:hAnsi="Arial" w:cs="Arial"/>
                <w:bCs/>
                <w:color w:val="auto"/>
                <w:sz w:val="20"/>
                <w:szCs w:val="20"/>
                <w:lang w:val="en-GB"/>
              </w:rPr>
              <w:t>2010-2011</w:t>
            </w:r>
          </w:p>
        </w:tc>
        <w:tc>
          <w:tcPr>
            <w:tcW w:w="1250" w:type="pct"/>
          </w:tcPr>
          <w:p w14:paraId="075FC4C3" w14:textId="77777777" w:rsidR="00A34FBD" w:rsidRPr="00A915A6" w:rsidRDefault="00A34FBD" w:rsidP="00A915A6">
            <w:pPr>
              <w:pStyle w:val="Body"/>
              <w:pBdr>
                <w:top w:val="none" w:sz="0" w:space="0" w:color="auto"/>
                <w:left w:val="none" w:sz="0" w:space="0" w:color="auto"/>
                <w:bottom w:val="none" w:sz="0" w:space="0" w:color="auto"/>
                <w:right w:val="none" w:sz="0" w:space="0" w:color="auto"/>
                <w:bar w:val="none" w:sz="0" w:color="auto"/>
              </w:pBdr>
              <w:spacing w:before="0"/>
              <w:jc w:val="right"/>
              <w:rPr>
                <w:rFonts w:eastAsia="SimSun" w:hAnsi="Arial" w:cs="Arial"/>
                <w:bCs/>
                <w:color w:val="auto"/>
                <w:sz w:val="20"/>
                <w:szCs w:val="20"/>
                <w:lang w:val="en-GB"/>
              </w:rPr>
            </w:pPr>
            <w:r w:rsidRPr="00A915A6">
              <w:rPr>
                <w:rFonts w:eastAsia="SimSun" w:hAnsi="Arial" w:cs="Arial"/>
                <w:bCs/>
                <w:color w:val="auto"/>
                <w:sz w:val="20"/>
                <w:szCs w:val="20"/>
                <w:lang w:val="en-GB"/>
              </w:rPr>
              <w:t>348</w:t>
            </w:r>
          </w:p>
        </w:tc>
        <w:tc>
          <w:tcPr>
            <w:tcW w:w="1250" w:type="pct"/>
          </w:tcPr>
          <w:p w14:paraId="000C177A" w14:textId="1FD2E68A" w:rsidR="00A34FBD" w:rsidRPr="00A915A6" w:rsidRDefault="00A34FBD" w:rsidP="00A915A6">
            <w:pPr>
              <w:pStyle w:val="Body"/>
              <w:pBdr>
                <w:top w:val="none" w:sz="0" w:space="0" w:color="auto"/>
                <w:left w:val="none" w:sz="0" w:space="0" w:color="auto"/>
                <w:bottom w:val="none" w:sz="0" w:space="0" w:color="auto"/>
                <w:right w:val="none" w:sz="0" w:space="0" w:color="auto"/>
                <w:bar w:val="none" w:sz="0" w:color="auto"/>
              </w:pBdr>
              <w:spacing w:before="0"/>
              <w:jc w:val="right"/>
              <w:rPr>
                <w:rFonts w:eastAsia="SimSun" w:hAnsi="Arial" w:cs="Arial"/>
                <w:bCs/>
                <w:color w:val="auto"/>
                <w:sz w:val="20"/>
                <w:szCs w:val="20"/>
                <w:lang w:val="en-GB"/>
              </w:rPr>
            </w:pPr>
            <w:r w:rsidRPr="00A915A6">
              <w:rPr>
                <w:rFonts w:eastAsia="SimSun" w:hAnsi="Arial" w:cs="Arial"/>
                <w:bCs/>
                <w:color w:val="auto"/>
                <w:sz w:val="20"/>
                <w:szCs w:val="20"/>
                <w:lang w:val="en-GB"/>
              </w:rPr>
              <w:t>6</w:t>
            </w:r>
            <w:r w:rsidR="00A915A6">
              <w:rPr>
                <w:rFonts w:eastAsia="SimSun" w:hAnsi="Arial" w:cs="Arial"/>
                <w:bCs/>
                <w:color w:val="auto"/>
                <w:sz w:val="20"/>
                <w:szCs w:val="20"/>
                <w:lang w:val="en-GB"/>
              </w:rPr>
              <w:t>,</w:t>
            </w:r>
            <w:r w:rsidRPr="00A915A6">
              <w:rPr>
                <w:rFonts w:eastAsia="SimSun" w:hAnsi="Arial" w:cs="Arial"/>
                <w:bCs/>
                <w:color w:val="auto"/>
                <w:sz w:val="20"/>
                <w:szCs w:val="20"/>
                <w:lang w:val="en-GB"/>
              </w:rPr>
              <w:t>072</w:t>
            </w:r>
          </w:p>
        </w:tc>
        <w:tc>
          <w:tcPr>
            <w:tcW w:w="1250" w:type="pct"/>
          </w:tcPr>
          <w:p w14:paraId="6AED645B" w14:textId="77777777" w:rsidR="00A34FBD" w:rsidRPr="00A915A6" w:rsidRDefault="00A34FBD" w:rsidP="00A915A6">
            <w:pPr>
              <w:pStyle w:val="Body"/>
              <w:pBdr>
                <w:top w:val="none" w:sz="0" w:space="0" w:color="auto"/>
                <w:left w:val="none" w:sz="0" w:space="0" w:color="auto"/>
                <w:bottom w:val="none" w:sz="0" w:space="0" w:color="auto"/>
                <w:right w:val="none" w:sz="0" w:space="0" w:color="auto"/>
                <w:bar w:val="none" w:sz="0" w:color="auto"/>
              </w:pBdr>
              <w:spacing w:before="0"/>
              <w:jc w:val="right"/>
              <w:rPr>
                <w:rFonts w:eastAsia="SimSun" w:hAnsi="Arial" w:cs="Arial"/>
                <w:bCs/>
                <w:color w:val="auto"/>
                <w:sz w:val="20"/>
                <w:szCs w:val="20"/>
                <w:lang w:val="en-GB"/>
              </w:rPr>
            </w:pPr>
            <w:r w:rsidRPr="00A915A6">
              <w:rPr>
                <w:rFonts w:eastAsia="SimSun" w:hAnsi="Arial" w:cs="Arial"/>
                <w:bCs/>
                <w:color w:val="auto"/>
                <w:sz w:val="20"/>
                <w:szCs w:val="20"/>
                <w:lang w:val="en-GB"/>
              </w:rPr>
              <w:t>5.73</w:t>
            </w:r>
          </w:p>
        </w:tc>
      </w:tr>
      <w:tr w:rsidR="00A34FBD" w:rsidRPr="00A915A6" w14:paraId="5E2812A6" w14:textId="77777777" w:rsidTr="00A915A6">
        <w:tc>
          <w:tcPr>
            <w:tcW w:w="1250" w:type="pct"/>
          </w:tcPr>
          <w:p w14:paraId="393F3AF8" w14:textId="77777777" w:rsidR="00A34FBD" w:rsidRPr="00A915A6" w:rsidRDefault="00A34FBD" w:rsidP="005E12D9">
            <w:pPr>
              <w:pStyle w:val="Body"/>
              <w:pBdr>
                <w:top w:val="none" w:sz="0" w:space="0" w:color="auto"/>
                <w:left w:val="none" w:sz="0" w:space="0" w:color="auto"/>
                <w:bottom w:val="none" w:sz="0" w:space="0" w:color="auto"/>
                <w:right w:val="none" w:sz="0" w:space="0" w:color="auto"/>
                <w:bar w:val="none" w:sz="0" w:color="auto"/>
              </w:pBdr>
              <w:spacing w:before="0"/>
              <w:rPr>
                <w:rFonts w:eastAsia="SimSun" w:hAnsi="Arial" w:cs="Arial"/>
                <w:bCs/>
                <w:color w:val="auto"/>
                <w:sz w:val="20"/>
                <w:szCs w:val="20"/>
                <w:lang w:val="en-GB"/>
              </w:rPr>
            </w:pPr>
            <w:r w:rsidRPr="00A915A6">
              <w:rPr>
                <w:rFonts w:eastAsia="SimSun" w:hAnsi="Arial" w:cs="Arial"/>
                <w:bCs/>
                <w:color w:val="auto"/>
                <w:sz w:val="20"/>
                <w:szCs w:val="20"/>
                <w:lang w:val="en-GB"/>
              </w:rPr>
              <w:t>2011-2012</w:t>
            </w:r>
          </w:p>
        </w:tc>
        <w:tc>
          <w:tcPr>
            <w:tcW w:w="1250" w:type="pct"/>
          </w:tcPr>
          <w:p w14:paraId="49C60A9E" w14:textId="77777777" w:rsidR="00A34FBD" w:rsidRPr="00A915A6" w:rsidRDefault="00A34FBD" w:rsidP="00A915A6">
            <w:pPr>
              <w:pStyle w:val="Body"/>
              <w:pBdr>
                <w:top w:val="none" w:sz="0" w:space="0" w:color="auto"/>
                <w:left w:val="none" w:sz="0" w:space="0" w:color="auto"/>
                <w:bottom w:val="none" w:sz="0" w:space="0" w:color="auto"/>
                <w:right w:val="none" w:sz="0" w:space="0" w:color="auto"/>
                <w:bar w:val="none" w:sz="0" w:color="auto"/>
              </w:pBdr>
              <w:spacing w:before="0"/>
              <w:jc w:val="right"/>
              <w:rPr>
                <w:rFonts w:eastAsia="SimSun" w:hAnsi="Arial" w:cs="Arial"/>
                <w:bCs/>
                <w:color w:val="auto"/>
                <w:sz w:val="20"/>
                <w:szCs w:val="20"/>
                <w:lang w:val="en-GB"/>
              </w:rPr>
            </w:pPr>
            <w:r w:rsidRPr="00A915A6">
              <w:rPr>
                <w:rFonts w:eastAsia="SimSun" w:hAnsi="Arial" w:cs="Arial"/>
                <w:bCs/>
                <w:color w:val="auto"/>
                <w:sz w:val="20"/>
                <w:szCs w:val="20"/>
                <w:lang w:val="en-GB"/>
              </w:rPr>
              <w:t>437</w:t>
            </w:r>
          </w:p>
        </w:tc>
        <w:tc>
          <w:tcPr>
            <w:tcW w:w="1250" w:type="pct"/>
          </w:tcPr>
          <w:p w14:paraId="4D923706" w14:textId="04665187" w:rsidR="00A34FBD" w:rsidRPr="00A915A6" w:rsidRDefault="00A34FBD" w:rsidP="00A915A6">
            <w:pPr>
              <w:pStyle w:val="Body"/>
              <w:pBdr>
                <w:top w:val="none" w:sz="0" w:space="0" w:color="auto"/>
                <w:left w:val="none" w:sz="0" w:space="0" w:color="auto"/>
                <w:bottom w:val="none" w:sz="0" w:space="0" w:color="auto"/>
                <w:right w:val="none" w:sz="0" w:space="0" w:color="auto"/>
                <w:bar w:val="none" w:sz="0" w:color="auto"/>
              </w:pBdr>
              <w:spacing w:before="0"/>
              <w:jc w:val="right"/>
              <w:rPr>
                <w:rFonts w:eastAsia="SimSun" w:hAnsi="Arial" w:cs="Arial"/>
                <w:bCs/>
                <w:color w:val="auto"/>
                <w:sz w:val="20"/>
                <w:szCs w:val="20"/>
                <w:lang w:val="en-GB"/>
              </w:rPr>
            </w:pPr>
            <w:r w:rsidRPr="00A915A6">
              <w:rPr>
                <w:rFonts w:eastAsia="SimSun" w:hAnsi="Arial" w:cs="Arial"/>
                <w:bCs/>
                <w:color w:val="auto"/>
                <w:sz w:val="20"/>
                <w:szCs w:val="20"/>
                <w:lang w:val="en-GB"/>
              </w:rPr>
              <w:t>6</w:t>
            </w:r>
            <w:r w:rsidR="00A915A6">
              <w:rPr>
                <w:rFonts w:eastAsia="SimSun" w:hAnsi="Arial" w:cs="Arial"/>
                <w:bCs/>
                <w:color w:val="auto"/>
                <w:sz w:val="20"/>
                <w:szCs w:val="20"/>
                <w:lang w:val="en-GB"/>
              </w:rPr>
              <w:t>,</w:t>
            </w:r>
            <w:r w:rsidRPr="00A915A6">
              <w:rPr>
                <w:rFonts w:eastAsia="SimSun" w:hAnsi="Arial" w:cs="Arial"/>
                <w:bCs/>
                <w:color w:val="auto"/>
                <w:sz w:val="20"/>
                <w:szCs w:val="20"/>
                <w:lang w:val="en-GB"/>
              </w:rPr>
              <w:t>170</w:t>
            </w:r>
          </w:p>
        </w:tc>
        <w:tc>
          <w:tcPr>
            <w:tcW w:w="1250" w:type="pct"/>
          </w:tcPr>
          <w:p w14:paraId="7D55C308" w14:textId="77777777" w:rsidR="00A34FBD" w:rsidRPr="00A915A6" w:rsidRDefault="00A34FBD" w:rsidP="00A915A6">
            <w:pPr>
              <w:pStyle w:val="Body"/>
              <w:pBdr>
                <w:top w:val="none" w:sz="0" w:space="0" w:color="auto"/>
                <w:left w:val="none" w:sz="0" w:space="0" w:color="auto"/>
                <w:bottom w:val="none" w:sz="0" w:space="0" w:color="auto"/>
                <w:right w:val="none" w:sz="0" w:space="0" w:color="auto"/>
                <w:bar w:val="none" w:sz="0" w:color="auto"/>
              </w:pBdr>
              <w:spacing w:before="0"/>
              <w:jc w:val="right"/>
              <w:rPr>
                <w:rFonts w:eastAsia="SimSun" w:hAnsi="Arial" w:cs="Arial"/>
                <w:bCs/>
                <w:color w:val="auto"/>
                <w:sz w:val="20"/>
                <w:szCs w:val="20"/>
                <w:lang w:val="en-GB"/>
              </w:rPr>
            </w:pPr>
            <w:r w:rsidRPr="00A915A6">
              <w:rPr>
                <w:rFonts w:eastAsia="SimSun" w:hAnsi="Arial" w:cs="Arial"/>
                <w:bCs/>
                <w:color w:val="auto"/>
                <w:sz w:val="20"/>
                <w:szCs w:val="20"/>
                <w:lang w:val="en-GB"/>
              </w:rPr>
              <w:t>7.08</w:t>
            </w:r>
          </w:p>
        </w:tc>
      </w:tr>
      <w:tr w:rsidR="00A34FBD" w:rsidRPr="00A915A6" w14:paraId="2F0C83A2" w14:textId="77777777" w:rsidTr="00A915A6">
        <w:tc>
          <w:tcPr>
            <w:tcW w:w="1250" w:type="pct"/>
          </w:tcPr>
          <w:p w14:paraId="4260572D" w14:textId="77777777" w:rsidR="00A34FBD" w:rsidRPr="00A915A6" w:rsidRDefault="00A34FBD" w:rsidP="005E12D9">
            <w:pPr>
              <w:pStyle w:val="Body"/>
              <w:pBdr>
                <w:top w:val="none" w:sz="0" w:space="0" w:color="auto"/>
                <w:left w:val="none" w:sz="0" w:space="0" w:color="auto"/>
                <w:bottom w:val="none" w:sz="0" w:space="0" w:color="auto"/>
                <w:right w:val="none" w:sz="0" w:space="0" w:color="auto"/>
                <w:bar w:val="none" w:sz="0" w:color="auto"/>
              </w:pBdr>
              <w:spacing w:before="0"/>
              <w:rPr>
                <w:rFonts w:eastAsia="SimSun" w:hAnsi="Arial" w:cs="Arial"/>
                <w:bCs/>
                <w:color w:val="auto"/>
                <w:sz w:val="20"/>
                <w:szCs w:val="20"/>
                <w:lang w:val="en-GB"/>
              </w:rPr>
            </w:pPr>
            <w:r w:rsidRPr="00A915A6">
              <w:rPr>
                <w:rFonts w:eastAsia="SimSun" w:hAnsi="Arial" w:cs="Arial"/>
                <w:bCs/>
                <w:color w:val="auto"/>
                <w:sz w:val="20"/>
                <w:szCs w:val="20"/>
                <w:lang w:val="en-GB"/>
              </w:rPr>
              <w:t>2012-2013</w:t>
            </w:r>
          </w:p>
        </w:tc>
        <w:tc>
          <w:tcPr>
            <w:tcW w:w="1250" w:type="pct"/>
          </w:tcPr>
          <w:p w14:paraId="04FD3045" w14:textId="77777777" w:rsidR="00A34FBD" w:rsidRPr="00A915A6" w:rsidRDefault="00A34FBD" w:rsidP="00A915A6">
            <w:pPr>
              <w:pStyle w:val="Body"/>
              <w:pBdr>
                <w:top w:val="none" w:sz="0" w:space="0" w:color="auto"/>
                <w:left w:val="none" w:sz="0" w:space="0" w:color="auto"/>
                <w:bottom w:val="none" w:sz="0" w:space="0" w:color="auto"/>
                <w:right w:val="none" w:sz="0" w:space="0" w:color="auto"/>
                <w:bar w:val="none" w:sz="0" w:color="auto"/>
              </w:pBdr>
              <w:spacing w:before="0"/>
              <w:jc w:val="right"/>
              <w:rPr>
                <w:rFonts w:eastAsia="SimSun" w:hAnsi="Arial" w:cs="Arial"/>
                <w:bCs/>
                <w:color w:val="auto"/>
                <w:sz w:val="20"/>
                <w:szCs w:val="20"/>
                <w:lang w:val="en-GB"/>
              </w:rPr>
            </w:pPr>
            <w:r w:rsidRPr="00A915A6">
              <w:rPr>
                <w:rFonts w:eastAsia="SimSun" w:hAnsi="Arial" w:cs="Arial"/>
                <w:bCs/>
                <w:color w:val="auto"/>
                <w:sz w:val="20"/>
                <w:szCs w:val="20"/>
                <w:lang w:val="en-GB"/>
              </w:rPr>
              <w:t>505</w:t>
            </w:r>
          </w:p>
        </w:tc>
        <w:tc>
          <w:tcPr>
            <w:tcW w:w="1250" w:type="pct"/>
          </w:tcPr>
          <w:p w14:paraId="00316F28" w14:textId="1419B2A2" w:rsidR="00A34FBD" w:rsidRPr="00A915A6" w:rsidRDefault="00A34FBD" w:rsidP="00A915A6">
            <w:pPr>
              <w:pStyle w:val="Body"/>
              <w:pBdr>
                <w:top w:val="none" w:sz="0" w:space="0" w:color="auto"/>
                <w:left w:val="none" w:sz="0" w:space="0" w:color="auto"/>
                <w:bottom w:val="none" w:sz="0" w:space="0" w:color="auto"/>
                <w:right w:val="none" w:sz="0" w:space="0" w:color="auto"/>
                <w:bar w:val="none" w:sz="0" w:color="auto"/>
              </w:pBdr>
              <w:spacing w:before="0"/>
              <w:jc w:val="right"/>
              <w:rPr>
                <w:rFonts w:eastAsia="SimSun" w:hAnsi="Arial" w:cs="Arial"/>
                <w:bCs/>
                <w:color w:val="auto"/>
                <w:sz w:val="20"/>
                <w:szCs w:val="20"/>
                <w:lang w:val="en-GB"/>
              </w:rPr>
            </w:pPr>
            <w:r w:rsidRPr="00A915A6">
              <w:rPr>
                <w:rFonts w:eastAsia="SimSun" w:hAnsi="Arial" w:cs="Arial"/>
                <w:bCs/>
                <w:color w:val="auto"/>
                <w:sz w:val="20"/>
                <w:szCs w:val="20"/>
                <w:lang w:val="en-GB"/>
              </w:rPr>
              <w:t>6</w:t>
            </w:r>
            <w:r w:rsidR="00A915A6">
              <w:rPr>
                <w:rFonts w:eastAsia="SimSun" w:hAnsi="Arial" w:cs="Arial"/>
                <w:bCs/>
                <w:color w:val="auto"/>
                <w:sz w:val="20"/>
                <w:szCs w:val="20"/>
                <w:lang w:val="en-GB"/>
              </w:rPr>
              <w:t>,</w:t>
            </w:r>
            <w:r w:rsidRPr="00A915A6">
              <w:rPr>
                <w:rFonts w:eastAsia="SimSun" w:hAnsi="Arial" w:cs="Arial"/>
                <w:bCs/>
                <w:color w:val="auto"/>
                <w:sz w:val="20"/>
                <w:szCs w:val="20"/>
                <w:lang w:val="en-GB"/>
              </w:rPr>
              <w:t>244</w:t>
            </w:r>
          </w:p>
        </w:tc>
        <w:tc>
          <w:tcPr>
            <w:tcW w:w="1250" w:type="pct"/>
          </w:tcPr>
          <w:p w14:paraId="03820BD4" w14:textId="77777777" w:rsidR="00A34FBD" w:rsidRPr="00A915A6" w:rsidRDefault="00A34FBD" w:rsidP="00A915A6">
            <w:pPr>
              <w:pStyle w:val="Body"/>
              <w:pBdr>
                <w:top w:val="none" w:sz="0" w:space="0" w:color="auto"/>
                <w:left w:val="none" w:sz="0" w:space="0" w:color="auto"/>
                <w:bottom w:val="none" w:sz="0" w:space="0" w:color="auto"/>
                <w:right w:val="none" w:sz="0" w:space="0" w:color="auto"/>
                <w:bar w:val="none" w:sz="0" w:color="auto"/>
              </w:pBdr>
              <w:spacing w:before="0"/>
              <w:jc w:val="right"/>
              <w:rPr>
                <w:rFonts w:eastAsia="SimSun" w:hAnsi="Arial" w:cs="Arial"/>
                <w:bCs/>
                <w:color w:val="auto"/>
                <w:sz w:val="20"/>
                <w:szCs w:val="20"/>
                <w:lang w:val="en-GB"/>
              </w:rPr>
            </w:pPr>
            <w:r w:rsidRPr="00A915A6">
              <w:rPr>
                <w:rFonts w:eastAsia="SimSun" w:hAnsi="Arial" w:cs="Arial"/>
                <w:bCs/>
                <w:color w:val="auto"/>
                <w:sz w:val="20"/>
                <w:szCs w:val="20"/>
                <w:lang w:val="en-GB"/>
              </w:rPr>
              <w:t>8.09</w:t>
            </w:r>
          </w:p>
        </w:tc>
      </w:tr>
      <w:tr w:rsidR="00A34FBD" w:rsidRPr="00A915A6" w14:paraId="19317CE3" w14:textId="77777777" w:rsidTr="00A915A6">
        <w:tc>
          <w:tcPr>
            <w:tcW w:w="1250" w:type="pct"/>
          </w:tcPr>
          <w:p w14:paraId="0E22A7DF" w14:textId="77777777" w:rsidR="00A34FBD" w:rsidRPr="00A915A6" w:rsidRDefault="00A34FBD" w:rsidP="005E12D9">
            <w:pPr>
              <w:pStyle w:val="Body"/>
              <w:pBdr>
                <w:top w:val="none" w:sz="0" w:space="0" w:color="auto"/>
                <w:left w:val="none" w:sz="0" w:space="0" w:color="auto"/>
                <w:bottom w:val="none" w:sz="0" w:space="0" w:color="auto"/>
                <w:right w:val="none" w:sz="0" w:space="0" w:color="auto"/>
                <w:bar w:val="none" w:sz="0" w:color="auto"/>
              </w:pBdr>
              <w:spacing w:before="0"/>
              <w:rPr>
                <w:rFonts w:eastAsia="SimSun" w:hAnsi="Arial" w:cs="Arial"/>
                <w:bCs/>
                <w:color w:val="auto"/>
                <w:sz w:val="20"/>
                <w:szCs w:val="20"/>
                <w:lang w:val="en-GB"/>
              </w:rPr>
            </w:pPr>
            <w:r w:rsidRPr="00A915A6">
              <w:rPr>
                <w:rFonts w:eastAsia="SimSun" w:hAnsi="Arial" w:cs="Arial"/>
                <w:bCs/>
                <w:color w:val="auto"/>
                <w:sz w:val="20"/>
                <w:szCs w:val="20"/>
                <w:lang w:val="en-GB"/>
              </w:rPr>
              <w:t>2013-2014</w:t>
            </w:r>
          </w:p>
        </w:tc>
        <w:tc>
          <w:tcPr>
            <w:tcW w:w="1250" w:type="pct"/>
          </w:tcPr>
          <w:p w14:paraId="628EC447" w14:textId="77777777" w:rsidR="00A34FBD" w:rsidRPr="00A915A6" w:rsidRDefault="00A34FBD" w:rsidP="00A915A6">
            <w:pPr>
              <w:pStyle w:val="Body"/>
              <w:pBdr>
                <w:top w:val="none" w:sz="0" w:space="0" w:color="auto"/>
                <w:left w:val="none" w:sz="0" w:space="0" w:color="auto"/>
                <w:bottom w:val="none" w:sz="0" w:space="0" w:color="auto"/>
                <w:right w:val="none" w:sz="0" w:space="0" w:color="auto"/>
                <w:bar w:val="none" w:sz="0" w:color="auto"/>
              </w:pBdr>
              <w:spacing w:before="0"/>
              <w:jc w:val="right"/>
              <w:rPr>
                <w:rFonts w:eastAsia="SimSun" w:hAnsi="Arial" w:cs="Arial"/>
                <w:bCs/>
                <w:color w:val="auto"/>
                <w:sz w:val="20"/>
                <w:szCs w:val="20"/>
                <w:lang w:val="en-GB"/>
              </w:rPr>
            </w:pPr>
            <w:r w:rsidRPr="00A915A6">
              <w:rPr>
                <w:rFonts w:eastAsia="SimSun" w:hAnsi="Arial" w:cs="Arial"/>
                <w:bCs/>
                <w:color w:val="auto"/>
                <w:sz w:val="20"/>
                <w:szCs w:val="20"/>
                <w:lang w:val="en-GB"/>
              </w:rPr>
              <w:t>632</w:t>
            </w:r>
          </w:p>
        </w:tc>
        <w:tc>
          <w:tcPr>
            <w:tcW w:w="1250" w:type="pct"/>
          </w:tcPr>
          <w:p w14:paraId="1A0CCB13" w14:textId="7A54BD12" w:rsidR="00A34FBD" w:rsidRPr="00A915A6" w:rsidRDefault="00A34FBD" w:rsidP="00A915A6">
            <w:pPr>
              <w:pStyle w:val="Body"/>
              <w:pBdr>
                <w:top w:val="none" w:sz="0" w:space="0" w:color="auto"/>
                <w:left w:val="none" w:sz="0" w:space="0" w:color="auto"/>
                <w:bottom w:val="none" w:sz="0" w:space="0" w:color="auto"/>
                <w:right w:val="none" w:sz="0" w:space="0" w:color="auto"/>
                <w:bar w:val="none" w:sz="0" w:color="auto"/>
              </w:pBdr>
              <w:spacing w:before="0"/>
              <w:jc w:val="right"/>
              <w:rPr>
                <w:rFonts w:eastAsia="SimSun" w:hAnsi="Arial" w:cs="Arial"/>
                <w:bCs/>
                <w:color w:val="auto"/>
                <w:sz w:val="20"/>
                <w:szCs w:val="20"/>
                <w:lang w:val="en-GB"/>
              </w:rPr>
            </w:pPr>
            <w:r w:rsidRPr="00A915A6">
              <w:rPr>
                <w:rFonts w:eastAsia="SimSun" w:hAnsi="Arial" w:cs="Arial"/>
                <w:bCs/>
                <w:color w:val="auto"/>
                <w:sz w:val="20"/>
                <w:szCs w:val="20"/>
                <w:lang w:val="en-GB"/>
              </w:rPr>
              <w:t>6</w:t>
            </w:r>
            <w:r w:rsidR="00A915A6">
              <w:rPr>
                <w:rFonts w:eastAsia="SimSun" w:hAnsi="Arial" w:cs="Arial"/>
                <w:bCs/>
                <w:color w:val="auto"/>
                <w:sz w:val="20"/>
                <w:szCs w:val="20"/>
                <w:lang w:val="en-GB"/>
              </w:rPr>
              <w:t>,</w:t>
            </w:r>
            <w:r w:rsidRPr="00A915A6">
              <w:rPr>
                <w:rFonts w:eastAsia="SimSun" w:hAnsi="Arial" w:cs="Arial"/>
                <w:bCs/>
                <w:color w:val="auto"/>
                <w:sz w:val="20"/>
                <w:szCs w:val="20"/>
                <w:lang w:val="en-GB"/>
              </w:rPr>
              <w:t>417</w:t>
            </w:r>
          </w:p>
        </w:tc>
        <w:tc>
          <w:tcPr>
            <w:tcW w:w="1250" w:type="pct"/>
          </w:tcPr>
          <w:p w14:paraId="77D749A7" w14:textId="77777777" w:rsidR="00A34FBD" w:rsidRPr="00A915A6" w:rsidRDefault="00A34FBD" w:rsidP="00A915A6">
            <w:pPr>
              <w:pStyle w:val="Body"/>
              <w:pBdr>
                <w:top w:val="none" w:sz="0" w:space="0" w:color="auto"/>
                <w:left w:val="none" w:sz="0" w:space="0" w:color="auto"/>
                <w:bottom w:val="none" w:sz="0" w:space="0" w:color="auto"/>
                <w:right w:val="none" w:sz="0" w:space="0" w:color="auto"/>
                <w:bar w:val="none" w:sz="0" w:color="auto"/>
              </w:pBdr>
              <w:spacing w:before="0"/>
              <w:jc w:val="right"/>
              <w:rPr>
                <w:rFonts w:eastAsia="SimSun" w:hAnsi="Arial" w:cs="Arial"/>
                <w:bCs/>
                <w:color w:val="auto"/>
                <w:sz w:val="20"/>
                <w:szCs w:val="20"/>
                <w:lang w:val="en-GB"/>
              </w:rPr>
            </w:pPr>
            <w:r w:rsidRPr="00A915A6">
              <w:rPr>
                <w:rFonts w:eastAsia="SimSun" w:hAnsi="Arial" w:cs="Arial"/>
                <w:bCs/>
                <w:color w:val="auto"/>
                <w:sz w:val="20"/>
                <w:szCs w:val="20"/>
                <w:lang w:val="en-GB"/>
              </w:rPr>
              <w:t>9.85</w:t>
            </w:r>
          </w:p>
        </w:tc>
      </w:tr>
      <w:tr w:rsidR="00A34FBD" w:rsidRPr="00A915A6" w14:paraId="3A40C889" w14:textId="77777777" w:rsidTr="00A915A6">
        <w:tc>
          <w:tcPr>
            <w:tcW w:w="1250" w:type="pct"/>
          </w:tcPr>
          <w:p w14:paraId="1A90D5A0" w14:textId="77777777" w:rsidR="00A34FBD" w:rsidRPr="00A915A6" w:rsidRDefault="00A34FBD" w:rsidP="005E12D9">
            <w:pPr>
              <w:pStyle w:val="Body"/>
              <w:pBdr>
                <w:top w:val="none" w:sz="0" w:space="0" w:color="auto"/>
                <w:left w:val="none" w:sz="0" w:space="0" w:color="auto"/>
                <w:bottom w:val="none" w:sz="0" w:space="0" w:color="auto"/>
                <w:right w:val="none" w:sz="0" w:space="0" w:color="auto"/>
                <w:bar w:val="none" w:sz="0" w:color="auto"/>
              </w:pBdr>
              <w:spacing w:before="0"/>
              <w:rPr>
                <w:rFonts w:eastAsia="SimSun" w:hAnsi="Arial" w:cs="Arial"/>
                <w:bCs/>
                <w:color w:val="auto"/>
                <w:sz w:val="20"/>
                <w:szCs w:val="20"/>
                <w:lang w:val="en-GB"/>
              </w:rPr>
            </w:pPr>
            <w:r w:rsidRPr="00A915A6">
              <w:rPr>
                <w:rFonts w:eastAsia="SimSun" w:hAnsi="Arial" w:cs="Arial"/>
                <w:bCs/>
                <w:color w:val="auto"/>
                <w:sz w:val="20"/>
                <w:szCs w:val="20"/>
                <w:lang w:val="en-GB"/>
              </w:rPr>
              <w:t>2014-2015</w:t>
            </w:r>
          </w:p>
        </w:tc>
        <w:tc>
          <w:tcPr>
            <w:tcW w:w="1250" w:type="pct"/>
          </w:tcPr>
          <w:p w14:paraId="416027B4" w14:textId="77777777" w:rsidR="00A34FBD" w:rsidRPr="00A915A6" w:rsidRDefault="00A34FBD" w:rsidP="00A915A6">
            <w:pPr>
              <w:pStyle w:val="Body"/>
              <w:pBdr>
                <w:top w:val="none" w:sz="0" w:space="0" w:color="auto"/>
                <w:left w:val="none" w:sz="0" w:space="0" w:color="auto"/>
                <w:bottom w:val="none" w:sz="0" w:space="0" w:color="auto"/>
                <w:right w:val="none" w:sz="0" w:space="0" w:color="auto"/>
                <w:bar w:val="none" w:sz="0" w:color="auto"/>
              </w:pBdr>
              <w:spacing w:before="0"/>
              <w:jc w:val="right"/>
              <w:rPr>
                <w:rFonts w:eastAsia="SimSun" w:hAnsi="Arial" w:cs="Arial"/>
                <w:bCs/>
                <w:color w:val="auto"/>
                <w:sz w:val="20"/>
                <w:szCs w:val="20"/>
                <w:lang w:val="en-GB"/>
              </w:rPr>
            </w:pPr>
            <w:r w:rsidRPr="00A915A6">
              <w:rPr>
                <w:rFonts w:eastAsia="SimSun" w:hAnsi="Arial" w:cs="Arial"/>
                <w:bCs/>
                <w:color w:val="auto"/>
                <w:sz w:val="20"/>
                <w:szCs w:val="20"/>
                <w:lang w:val="en-GB"/>
              </w:rPr>
              <w:t>735</w:t>
            </w:r>
          </w:p>
        </w:tc>
        <w:tc>
          <w:tcPr>
            <w:tcW w:w="1250" w:type="pct"/>
          </w:tcPr>
          <w:p w14:paraId="20DFF04C" w14:textId="3C4138DB" w:rsidR="00A34FBD" w:rsidRPr="00A915A6" w:rsidRDefault="00A34FBD" w:rsidP="00A915A6">
            <w:pPr>
              <w:pStyle w:val="Body"/>
              <w:pBdr>
                <w:top w:val="none" w:sz="0" w:space="0" w:color="auto"/>
                <w:left w:val="none" w:sz="0" w:space="0" w:color="auto"/>
                <w:bottom w:val="none" w:sz="0" w:space="0" w:color="auto"/>
                <w:right w:val="none" w:sz="0" w:space="0" w:color="auto"/>
                <w:bar w:val="none" w:sz="0" w:color="auto"/>
              </w:pBdr>
              <w:spacing w:before="0"/>
              <w:jc w:val="right"/>
              <w:rPr>
                <w:rFonts w:eastAsia="SimSun" w:hAnsi="Arial" w:cs="Arial"/>
                <w:bCs/>
                <w:color w:val="auto"/>
                <w:sz w:val="20"/>
                <w:szCs w:val="20"/>
                <w:lang w:val="en-GB"/>
              </w:rPr>
            </w:pPr>
            <w:r w:rsidRPr="00A915A6">
              <w:rPr>
                <w:rFonts w:eastAsia="SimSun" w:hAnsi="Arial" w:cs="Arial"/>
                <w:bCs/>
                <w:color w:val="auto"/>
                <w:sz w:val="20"/>
                <w:szCs w:val="20"/>
                <w:lang w:val="en-GB"/>
              </w:rPr>
              <w:t>6</w:t>
            </w:r>
            <w:r w:rsidR="00A915A6">
              <w:rPr>
                <w:rFonts w:eastAsia="SimSun" w:hAnsi="Arial" w:cs="Arial"/>
                <w:bCs/>
                <w:color w:val="auto"/>
                <w:sz w:val="20"/>
                <w:szCs w:val="20"/>
                <w:lang w:val="en-GB"/>
              </w:rPr>
              <w:t>,</w:t>
            </w:r>
            <w:r w:rsidRPr="00A915A6">
              <w:rPr>
                <w:rFonts w:eastAsia="SimSun" w:hAnsi="Arial" w:cs="Arial"/>
                <w:bCs/>
                <w:color w:val="auto"/>
                <w:sz w:val="20"/>
                <w:szCs w:val="20"/>
                <w:lang w:val="en-GB"/>
              </w:rPr>
              <w:t>505</w:t>
            </w:r>
          </w:p>
        </w:tc>
        <w:tc>
          <w:tcPr>
            <w:tcW w:w="1250" w:type="pct"/>
          </w:tcPr>
          <w:p w14:paraId="4A124729" w14:textId="77777777" w:rsidR="00A34FBD" w:rsidRPr="00A915A6" w:rsidRDefault="00A34FBD" w:rsidP="00A915A6">
            <w:pPr>
              <w:pStyle w:val="Body"/>
              <w:pBdr>
                <w:top w:val="none" w:sz="0" w:space="0" w:color="auto"/>
                <w:left w:val="none" w:sz="0" w:space="0" w:color="auto"/>
                <w:bottom w:val="none" w:sz="0" w:space="0" w:color="auto"/>
                <w:right w:val="none" w:sz="0" w:space="0" w:color="auto"/>
                <w:bar w:val="none" w:sz="0" w:color="auto"/>
              </w:pBdr>
              <w:spacing w:before="0"/>
              <w:jc w:val="right"/>
              <w:rPr>
                <w:rFonts w:eastAsia="SimSun" w:hAnsi="Arial" w:cs="Arial"/>
                <w:bCs/>
                <w:color w:val="auto"/>
                <w:sz w:val="20"/>
                <w:szCs w:val="20"/>
                <w:lang w:val="en-GB"/>
              </w:rPr>
            </w:pPr>
            <w:r w:rsidRPr="00A915A6">
              <w:rPr>
                <w:rFonts w:eastAsia="SimSun" w:hAnsi="Arial" w:cs="Arial"/>
                <w:bCs/>
                <w:color w:val="auto"/>
                <w:sz w:val="20"/>
                <w:szCs w:val="20"/>
                <w:lang w:val="en-GB"/>
              </w:rPr>
              <w:t>11.3</w:t>
            </w:r>
          </w:p>
        </w:tc>
      </w:tr>
      <w:tr w:rsidR="00A34FBD" w:rsidRPr="00A915A6" w14:paraId="32E099A0" w14:textId="77777777" w:rsidTr="00A915A6">
        <w:tc>
          <w:tcPr>
            <w:tcW w:w="1250" w:type="pct"/>
          </w:tcPr>
          <w:p w14:paraId="625A0509" w14:textId="77777777" w:rsidR="00A34FBD" w:rsidRPr="00A915A6" w:rsidRDefault="00A34FBD" w:rsidP="005E12D9">
            <w:pPr>
              <w:pStyle w:val="Body"/>
              <w:pBdr>
                <w:top w:val="none" w:sz="0" w:space="0" w:color="auto"/>
                <w:left w:val="none" w:sz="0" w:space="0" w:color="auto"/>
                <w:bottom w:val="none" w:sz="0" w:space="0" w:color="auto"/>
                <w:right w:val="none" w:sz="0" w:space="0" w:color="auto"/>
                <w:bar w:val="none" w:sz="0" w:color="auto"/>
              </w:pBdr>
              <w:spacing w:before="0"/>
              <w:rPr>
                <w:rFonts w:eastAsia="SimSun" w:hAnsi="Arial" w:cs="Arial"/>
                <w:bCs/>
                <w:color w:val="auto"/>
                <w:sz w:val="20"/>
                <w:szCs w:val="20"/>
                <w:lang w:val="en-GB"/>
              </w:rPr>
            </w:pPr>
            <w:r w:rsidRPr="00A915A6">
              <w:rPr>
                <w:rFonts w:eastAsia="SimSun" w:hAnsi="Arial" w:cs="Arial"/>
                <w:bCs/>
                <w:color w:val="auto"/>
                <w:sz w:val="20"/>
                <w:szCs w:val="20"/>
                <w:lang w:val="en-GB"/>
              </w:rPr>
              <w:t>2015-2016</w:t>
            </w:r>
          </w:p>
        </w:tc>
        <w:tc>
          <w:tcPr>
            <w:tcW w:w="1250" w:type="pct"/>
          </w:tcPr>
          <w:p w14:paraId="32801F3C" w14:textId="77777777" w:rsidR="00A34FBD" w:rsidRPr="00A915A6" w:rsidRDefault="00A34FBD" w:rsidP="00A915A6">
            <w:pPr>
              <w:pStyle w:val="Body"/>
              <w:pBdr>
                <w:top w:val="none" w:sz="0" w:space="0" w:color="auto"/>
                <w:left w:val="none" w:sz="0" w:space="0" w:color="auto"/>
                <w:bottom w:val="none" w:sz="0" w:space="0" w:color="auto"/>
                <w:right w:val="none" w:sz="0" w:space="0" w:color="auto"/>
                <w:bar w:val="none" w:sz="0" w:color="auto"/>
              </w:pBdr>
              <w:spacing w:before="0"/>
              <w:jc w:val="right"/>
              <w:rPr>
                <w:rFonts w:eastAsia="SimSun" w:hAnsi="Arial" w:cs="Arial"/>
                <w:bCs/>
                <w:color w:val="auto"/>
                <w:sz w:val="20"/>
                <w:szCs w:val="20"/>
                <w:lang w:val="en-GB"/>
              </w:rPr>
            </w:pPr>
            <w:r w:rsidRPr="00A915A6">
              <w:rPr>
                <w:rFonts w:eastAsia="SimSun" w:hAnsi="Arial" w:cs="Arial"/>
                <w:bCs/>
                <w:color w:val="auto"/>
                <w:sz w:val="20"/>
                <w:szCs w:val="20"/>
                <w:lang w:val="en-GB"/>
              </w:rPr>
              <w:t>824</w:t>
            </w:r>
          </w:p>
        </w:tc>
        <w:tc>
          <w:tcPr>
            <w:tcW w:w="1250" w:type="pct"/>
          </w:tcPr>
          <w:p w14:paraId="783B0906" w14:textId="0735868B" w:rsidR="00A34FBD" w:rsidRPr="00A915A6" w:rsidRDefault="00A34FBD" w:rsidP="00A915A6">
            <w:pPr>
              <w:pStyle w:val="Body"/>
              <w:pBdr>
                <w:top w:val="none" w:sz="0" w:space="0" w:color="auto"/>
                <w:left w:val="none" w:sz="0" w:space="0" w:color="auto"/>
                <w:bottom w:val="none" w:sz="0" w:space="0" w:color="auto"/>
                <w:right w:val="none" w:sz="0" w:space="0" w:color="auto"/>
                <w:bar w:val="none" w:sz="0" w:color="auto"/>
              </w:pBdr>
              <w:spacing w:before="0"/>
              <w:jc w:val="right"/>
              <w:rPr>
                <w:rFonts w:eastAsia="SimSun" w:hAnsi="Arial" w:cs="Arial"/>
                <w:bCs/>
                <w:color w:val="auto"/>
                <w:sz w:val="20"/>
                <w:szCs w:val="20"/>
                <w:lang w:val="en-GB"/>
              </w:rPr>
            </w:pPr>
            <w:r w:rsidRPr="00A915A6">
              <w:rPr>
                <w:rFonts w:eastAsia="SimSun" w:hAnsi="Arial" w:cs="Arial"/>
                <w:bCs/>
                <w:color w:val="auto"/>
                <w:sz w:val="20"/>
                <w:szCs w:val="20"/>
                <w:lang w:val="en-GB"/>
              </w:rPr>
              <w:t>6</w:t>
            </w:r>
            <w:r w:rsidR="00A915A6">
              <w:rPr>
                <w:rFonts w:eastAsia="SimSun" w:hAnsi="Arial" w:cs="Arial"/>
                <w:bCs/>
                <w:color w:val="auto"/>
                <w:sz w:val="20"/>
                <w:szCs w:val="20"/>
                <w:lang w:val="en-GB"/>
              </w:rPr>
              <w:t>,</w:t>
            </w:r>
            <w:r w:rsidRPr="00A915A6">
              <w:rPr>
                <w:rFonts w:eastAsia="SimSun" w:hAnsi="Arial" w:cs="Arial"/>
                <w:bCs/>
                <w:color w:val="auto"/>
                <w:sz w:val="20"/>
                <w:szCs w:val="20"/>
                <w:lang w:val="en-GB"/>
              </w:rPr>
              <w:t>659</w:t>
            </w:r>
          </w:p>
        </w:tc>
        <w:tc>
          <w:tcPr>
            <w:tcW w:w="1250" w:type="pct"/>
          </w:tcPr>
          <w:p w14:paraId="0BD62F48" w14:textId="77777777" w:rsidR="00A34FBD" w:rsidRPr="00A915A6" w:rsidRDefault="00A34FBD" w:rsidP="00A915A6">
            <w:pPr>
              <w:pStyle w:val="Body"/>
              <w:pBdr>
                <w:top w:val="none" w:sz="0" w:space="0" w:color="auto"/>
                <w:left w:val="none" w:sz="0" w:space="0" w:color="auto"/>
                <w:bottom w:val="none" w:sz="0" w:space="0" w:color="auto"/>
                <w:right w:val="none" w:sz="0" w:space="0" w:color="auto"/>
                <w:bar w:val="none" w:sz="0" w:color="auto"/>
              </w:pBdr>
              <w:spacing w:before="0"/>
              <w:jc w:val="right"/>
              <w:rPr>
                <w:rFonts w:eastAsia="SimSun" w:hAnsi="Arial" w:cs="Arial"/>
                <w:bCs/>
                <w:color w:val="auto"/>
                <w:sz w:val="20"/>
                <w:szCs w:val="20"/>
                <w:lang w:val="en-GB"/>
              </w:rPr>
            </w:pPr>
            <w:r w:rsidRPr="00A915A6">
              <w:rPr>
                <w:rFonts w:eastAsia="SimSun" w:hAnsi="Arial" w:cs="Arial"/>
                <w:bCs/>
                <w:color w:val="auto"/>
                <w:sz w:val="20"/>
                <w:szCs w:val="20"/>
                <w:lang w:val="en-GB"/>
              </w:rPr>
              <w:t>12.4</w:t>
            </w:r>
          </w:p>
        </w:tc>
      </w:tr>
      <w:tr w:rsidR="00A34FBD" w:rsidRPr="00A915A6" w14:paraId="2FCA99A5" w14:textId="77777777" w:rsidTr="00A915A6">
        <w:tc>
          <w:tcPr>
            <w:tcW w:w="1250" w:type="pct"/>
          </w:tcPr>
          <w:p w14:paraId="6D725900" w14:textId="77777777" w:rsidR="00A34FBD" w:rsidRPr="00A915A6" w:rsidRDefault="00A34FBD" w:rsidP="005E12D9">
            <w:pPr>
              <w:pStyle w:val="Body"/>
              <w:pBdr>
                <w:top w:val="none" w:sz="0" w:space="0" w:color="auto"/>
                <w:left w:val="none" w:sz="0" w:space="0" w:color="auto"/>
                <w:bottom w:val="none" w:sz="0" w:space="0" w:color="auto"/>
                <w:right w:val="none" w:sz="0" w:space="0" w:color="auto"/>
                <w:bar w:val="none" w:sz="0" w:color="auto"/>
              </w:pBdr>
              <w:spacing w:before="0"/>
              <w:rPr>
                <w:rFonts w:eastAsia="SimSun" w:hAnsi="Arial" w:cs="Arial"/>
                <w:bCs/>
                <w:color w:val="auto"/>
                <w:sz w:val="20"/>
                <w:szCs w:val="20"/>
                <w:lang w:val="en-GB"/>
              </w:rPr>
            </w:pPr>
            <w:r w:rsidRPr="00A915A6">
              <w:rPr>
                <w:rFonts w:eastAsia="SimSun" w:hAnsi="Arial" w:cs="Arial"/>
                <w:bCs/>
                <w:color w:val="auto"/>
                <w:sz w:val="20"/>
                <w:szCs w:val="20"/>
                <w:lang w:val="en-GB"/>
              </w:rPr>
              <w:t>2016-2017</w:t>
            </w:r>
          </w:p>
        </w:tc>
        <w:tc>
          <w:tcPr>
            <w:tcW w:w="1250" w:type="pct"/>
          </w:tcPr>
          <w:p w14:paraId="56CD58F3" w14:textId="77777777" w:rsidR="00A34FBD" w:rsidRPr="00A915A6" w:rsidRDefault="00A34FBD" w:rsidP="005E12D9">
            <w:pPr>
              <w:pStyle w:val="Body"/>
              <w:pBdr>
                <w:top w:val="none" w:sz="0" w:space="0" w:color="auto"/>
                <w:left w:val="none" w:sz="0" w:space="0" w:color="auto"/>
                <w:bottom w:val="none" w:sz="0" w:space="0" w:color="auto"/>
                <w:right w:val="none" w:sz="0" w:space="0" w:color="auto"/>
                <w:bar w:val="none" w:sz="0" w:color="auto"/>
              </w:pBdr>
              <w:spacing w:before="0"/>
              <w:rPr>
                <w:rFonts w:eastAsia="SimSun" w:hAnsi="Arial" w:cs="Arial"/>
                <w:bCs/>
                <w:color w:val="auto"/>
                <w:sz w:val="20"/>
                <w:szCs w:val="20"/>
                <w:lang w:val="en-GB"/>
              </w:rPr>
            </w:pPr>
            <w:r w:rsidRPr="00A915A6">
              <w:rPr>
                <w:rFonts w:eastAsia="SimSun" w:hAnsi="Arial" w:cs="Arial"/>
                <w:bCs/>
                <w:color w:val="auto"/>
                <w:sz w:val="20"/>
                <w:szCs w:val="20"/>
                <w:lang w:val="en-GB"/>
              </w:rPr>
              <w:t>834</w:t>
            </w:r>
          </w:p>
        </w:tc>
        <w:tc>
          <w:tcPr>
            <w:tcW w:w="1250" w:type="pct"/>
          </w:tcPr>
          <w:p w14:paraId="1EDA372C" w14:textId="77777777" w:rsidR="00A34FBD" w:rsidRPr="00A915A6" w:rsidRDefault="00A34FBD" w:rsidP="005E12D9">
            <w:pPr>
              <w:pStyle w:val="Body"/>
              <w:pBdr>
                <w:top w:val="none" w:sz="0" w:space="0" w:color="auto"/>
                <w:left w:val="none" w:sz="0" w:space="0" w:color="auto"/>
                <w:bottom w:val="none" w:sz="0" w:space="0" w:color="auto"/>
                <w:right w:val="none" w:sz="0" w:space="0" w:color="auto"/>
                <w:bar w:val="none" w:sz="0" w:color="auto"/>
              </w:pBdr>
              <w:spacing w:before="0"/>
              <w:rPr>
                <w:rFonts w:eastAsia="SimSun" w:hAnsi="Arial" w:cs="Arial"/>
                <w:bCs/>
                <w:color w:val="auto"/>
                <w:sz w:val="20"/>
                <w:szCs w:val="20"/>
                <w:lang w:val="en-GB"/>
              </w:rPr>
            </w:pPr>
            <w:r w:rsidRPr="00A915A6">
              <w:rPr>
                <w:rFonts w:eastAsia="SimSun" w:hAnsi="Arial" w:cs="Arial"/>
                <w:bCs/>
                <w:color w:val="auto"/>
                <w:sz w:val="20"/>
                <w:szCs w:val="20"/>
                <w:lang w:val="en-GB"/>
              </w:rPr>
              <w:t>5892</w:t>
            </w:r>
          </w:p>
        </w:tc>
        <w:tc>
          <w:tcPr>
            <w:tcW w:w="1250" w:type="pct"/>
          </w:tcPr>
          <w:p w14:paraId="3483651B" w14:textId="687BEE2C" w:rsidR="00A34FBD" w:rsidRPr="00A915A6" w:rsidRDefault="00BF79E5" w:rsidP="005E12D9">
            <w:pPr>
              <w:pStyle w:val="Body"/>
              <w:pBdr>
                <w:top w:val="none" w:sz="0" w:space="0" w:color="auto"/>
                <w:left w:val="none" w:sz="0" w:space="0" w:color="auto"/>
                <w:bottom w:val="none" w:sz="0" w:space="0" w:color="auto"/>
                <w:right w:val="none" w:sz="0" w:space="0" w:color="auto"/>
                <w:bar w:val="none" w:sz="0" w:color="auto"/>
              </w:pBdr>
              <w:spacing w:before="0"/>
              <w:rPr>
                <w:rFonts w:eastAsia="SimSun" w:hAnsi="Arial" w:cs="Arial"/>
                <w:bCs/>
                <w:color w:val="auto"/>
                <w:sz w:val="20"/>
                <w:szCs w:val="20"/>
                <w:lang w:val="en-GB"/>
              </w:rPr>
            </w:pPr>
            <w:r w:rsidRPr="00A915A6">
              <w:rPr>
                <w:rFonts w:eastAsia="SimSun" w:hAnsi="Arial" w:cs="Arial"/>
                <w:bCs/>
                <w:color w:val="auto"/>
                <w:sz w:val="20"/>
                <w:szCs w:val="20"/>
                <w:lang w:val="en-GB"/>
              </w:rPr>
              <w:t>14.15</w:t>
            </w:r>
          </w:p>
        </w:tc>
      </w:tr>
      <w:tr w:rsidR="00A34FBD" w:rsidRPr="00A915A6" w14:paraId="77B45733" w14:textId="77777777" w:rsidTr="00A915A6">
        <w:tc>
          <w:tcPr>
            <w:tcW w:w="1250" w:type="pct"/>
          </w:tcPr>
          <w:p w14:paraId="49E16A7A" w14:textId="5C823D1B" w:rsidR="00A34FBD" w:rsidRPr="00A915A6" w:rsidRDefault="00A34FBD" w:rsidP="005E12D9">
            <w:pPr>
              <w:pStyle w:val="Body"/>
              <w:pBdr>
                <w:top w:val="none" w:sz="0" w:space="0" w:color="auto"/>
                <w:left w:val="none" w:sz="0" w:space="0" w:color="auto"/>
                <w:bottom w:val="none" w:sz="0" w:space="0" w:color="auto"/>
                <w:right w:val="none" w:sz="0" w:space="0" w:color="auto"/>
                <w:bar w:val="none" w:sz="0" w:color="auto"/>
              </w:pBdr>
              <w:spacing w:before="0"/>
              <w:rPr>
                <w:rFonts w:eastAsia="SimSun" w:hAnsi="Arial" w:cs="Arial"/>
                <w:bCs/>
                <w:color w:val="auto"/>
                <w:sz w:val="20"/>
                <w:szCs w:val="20"/>
                <w:lang w:val="en-GB"/>
              </w:rPr>
            </w:pPr>
            <w:r w:rsidRPr="00A915A6">
              <w:rPr>
                <w:rFonts w:eastAsia="SimSun" w:hAnsi="Arial" w:cs="Arial"/>
                <w:bCs/>
                <w:color w:val="auto"/>
                <w:sz w:val="20"/>
                <w:szCs w:val="20"/>
                <w:lang w:val="en-GB"/>
              </w:rPr>
              <w:t>2017-2018</w:t>
            </w:r>
          </w:p>
        </w:tc>
        <w:tc>
          <w:tcPr>
            <w:tcW w:w="1250" w:type="pct"/>
          </w:tcPr>
          <w:p w14:paraId="67BEA9A1" w14:textId="29DD2115" w:rsidR="00A34FBD" w:rsidRPr="00A915A6" w:rsidRDefault="00FC0C6B" w:rsidP="005E12D9">
            <w:pPr>
              <w:pStyle w:val="Body"/>
              <w:pBdr>
                <w:top w:val="none" w:sz="0" w:space="0" w:color="auto"/>
                <w:left w:val="none" w:sz="0" w:space="0" w:color="auto"/>
                <w:bottom w:val="none" w:sz="0" w:space="0" w:color="auto"/>
                <w:right w:val="none" w:sz="0" w:space="0" w:color="auto"/>
                <w:bar w:val="none" w:sz="0" w:color="auto"/>
              </w:pBdr>
              <w:spacing w:before="0"/>
              <w:rPr>
                <w:rFonts w:eastAsia="SimSun" w:hAnsi="Arial" w:cs="Arial"/>
                <w:bCs/>
                <w:color w:val="auto"/>
                <w:sz w:val="20"/>
                <w:szCs w:val="20"/>
                <w:lang w:val="en-GB"/>
              </w:rPr>
            </w:pPr>
            <w:r w:rsidRPr="00A915A6">
              <w:rPr>
                <w:rFonts w:eastAsia="SimSun" w:hAnsi="Arial" w:cs="Arial"/>
                <w:bCs/>
                <w:color w:val="auto"/>
                <w:sz w:val="20"/>
                <w:szCs w:val="20"/>
                <w:lang w:val="en-GB"/>
              </w:rPr>
              <w:t>832</w:t>
            </w:r>
            <w:r w:rsidRPr="00A915A6">
              <w:rPr>
                <w:rStyle w:val="FootnoteReference"/>
                <w:rFonts w:eastAsia="SimSun" w:hAnsi="Arial" w:cs="Arial"/>
                <w:bCs/>
                <w:color w:val="auto"/>
                <w:sz w:val="20"/>
                <w:szCs w:val="20"/>
                <w:lang w:val="en-GB"/>
              </w:rPr>
              <w:footnoteReference w:id="74"/>
            </w:r>
          </w:p>
        </w:tc>
        <w:tc>
          <w:tcPr>
            <w:tcW w:w="1250" w:type="pct"/>
          </w:tcPr>
          <w:p w14:paraId="187E6121" w14:textId="2214E6BD" w:rsidR="00A34FBD" w:rsidRPr="00A915A6" w:rsidRDefault="00BF79E5" w:rsidP="005E12D9">
            <w:pPr>
              <w:pStyle w:val="Body"/>
              <w:pBdr>
                <w:top w:val="none" w:sz="0" w:space="0" w:color="auto"/>
                <w:left w:val="none" w:sz="0" w:space="0" w:color="auto"/>
                <w:bottom w:val="none" w:sz="0" w:space="0" w:color="auto"/>
                <w:right w:val="none" w:sz="0" w:space="0" w:color="auto"/>
                <w:bar w:val="none" w:sz="0" w:color="auto"/>
              </w:pBdr>
              <w:spacing w:before="0"/>
              <w:rPr>
                <w:rFonts w:eastAsia="SimSun" w:hAnsi="Arial" w:cs="Arial"/>
                <w:bCs/>
                <w:color w:val="auto"/>
                <w:sz w:val="20"/>
                <w:szCs w:val="20"/>
                <w:lang w:val="en-GB"/>
              </w:rPr>
            </w:pPr>
            <w:r w:rsidRPr="00A915A6">
              <w:rPr>
                <w:rFonts w:eastAsia="SimSun" w:hAnsi="Arial" w:cs="Arial"/>
                <w:bCs/>
                <w:color w:val="auto"/>
                <w:sz w:val="20"/>
                <w:szCs w:val="20"/>
                <w:lang w:val="en-GB"/>
              </w:rPr>
              <w:t>6638</w:t>
            </w:r>
            <w:r w:rsidRPr="00A915A6">
              <w:rPr>
                <w:rStyle w:val="FootnoteReference"/>
                <w:rFonts w:eastAsia="SimSun" w:hAnsi="Arial" w:cs="Arial"/>
                <w:bCs/>
                <w:color w:val="auto"/>
                <w:sz w:val="20"/>
                <w:szCs w:val="20"/>
                <w:lang w:val="en-GB"/>
              </w:rPr>
              <w:footnoteReference w:id="75"/>
            </w:r>
          </w:p>
        </w:tc>
        <w:tc>
          <w:tcPr>
            <w:tcW w:w="1250" w:type="pct"/>
          </w:tcPr>
          <w:p w14:paraId="4360E815" w14:textId="5D8D0C97" w:rsidR="00A34FBD" w:rsidRPr="00A915A6" w:rsidRDefault="00BF79E5" w:rsidP="005E12D9">
            <w:pPr>
              <w:pStyle w:val="Body"/>
              <w:pBdr>
                <w:top w:val="none" w:sz="0" w:space="0" w:color="auto"/>
                <w:left w:val="none" w:sz="0" w:space="0" w:color="auto"/>
                <w:bottom w:val="none" w:sz="0" w:space="0" w:color="auto"/>
                <w:right w:val="none" w:sz="0" w:space="0" w:color="auto"/>
                <w:bar w:val="none" w:sz="0" w:color="auto"/>
              </w:pBdr>
              <w:spacing w:before="0"/>
              <w:rPr>
                <w:rFonts w:eastAsia="SimSun" w:hAnsi="Arial" w:cs="Arial"/>
                <w:bCs/>
                <w:color w:val="auto"/>
                <w:sz w:val="20"/>
                <w:szCs w:val="20"/>
                <w:lang w:val="en-GB"/>
              </w:rPr>
            </w:pPr>
            <w:r w:rsidRPr="00A915A6">
              <w:rPr>
                <w:rFonts w:eastAsia="SimSun" w:hAnsi="Arial" w:cs="Arial"/>
                <w:bCs/>
                <w:color w:val="auto"/>
                <w:sz w:val="20"/>
                <w:szCs w:val="20"/>
                <w:lang w:val="en-GB"/>
              </w:rPr>
              <w:t>12.5</w:t>
            </w:r>
          </w:p>
        </w:tc>
      </w:tr>
    </w:tbl>
    <w:p w14:paraId="0A752ACF" w14:textId="29771706" w:rsidR="00A34FBD" w:rsidRPr="00A915A6" w:rsidRDefault="00A34FBD" w:rsidP="00A34FBD">
      <w:pPr>
        <w:pStyle w:val="Body"/>
        <w:pBdr>
          <w:top w:val="none" w:sz="0" w:space="0" w:color="auto"/>
          <w:left w:val="none" w:sz="0" w:space="0" w:color="auto"/>
          <w:bottom w:val="none" w:sz="0" w:space="0" w:color="auto"/>
          <w:right w:val="none" w:sz="0" w:space="0" w:color="auto"/>
          <w:bar w:val="none" w:sz="0" w:color="auto"/>
        </w:pBdr>
        <w:spacing w:before="0" w:line="240" w:lineRule="auto"/>
        <w:jc w:val="both"/>
        <w:rPr>
          <w:rFonts w:eastAsia="SimSun" w:hAnsi="Arial" w:cs="Arial"/>
          <w:b/>
          <w:bCs/>
          <w:i/>
          <w:color w:val="auto"/>
          <w:sz w:val="20"/>
          <w:szCs w:val="20"/>
          <w:lang w:val="en-GB"/>
        </w:rPr>
      </w:pPr>
      <w:r w:rsidRPr="00A915A6">
        <w:rPr>
          <w:rFonts w:eastAsia="SimSun" w:hAnsi="Arial" w:cs="Arial"/>
          <w:bCs/>
          <w:i/>
          <w:color w:val="auto"/>
          <w:sz w:val="20"/>
          <w:szCs w:val="20"/>
          <w:lang w:val="en-GB"/>
        </w:rPr>
        <w:t xml:space="preserve">Source: </w:t>
      </w:r>
      <w:r w:rsidR="00FC0C6B" w:rsidRPr="00A915A6">
        <w:rPr>
          <w:rFonts w:eastAsia="SimSun" w:hAnsi="Arial" w:cs="Arial"/>
          <w:bCs/>
          <w:i/>
          <w:color w:val="auto"/>
          <w:sz w:val="20"/>
          <w:szCs w:val="20"/>
          <w:lang w:val="en-GB"/>
        </w:rPr>
        <w:t xml:space="preserve">Inclusive Education Unit (MCAST). 2018. </w:t>
      </w:r>
      <w:r w:rsidRPr="00A915A6">
        <w:rPr>
          <w:rFonts w:eastAsia="SimSun" w:hAnsi="Arial" w:cs="Arial"/>
          <w:bCs/>
          <w:i/>
          <w:color w:val="auto"/>
          <w:sz w:val="20"/>
          <w:szCs w:val="20"/>
          <w:lang w:val="en-GB"/>
        </w:rPr>
        <w:t>Per</w:t>
      </w:r>
      <w:r w:rsidR="00FC0C6B" w:rsidRPr="00A915A6">
        <w:rPr>
          <w:rFonts w:eastAsia="SimSun" w:hAnsi="Arial" w:cs="Arial"/>
          <w:bCs/>
          <w:i/>
          <w:color w:val="auto"/>
          <w:sz w:val="20"/>
          <w:szCs w:val="20"/>
          <w:lang w:val="en-GB"/>
        </w:rPr>
        <w:t>sonal Communication</w:t>
      </w:r>
      <w:r w:rsidRPr="00A915A6">
        <w:rPr>
          <w:rFonts w:eastAsia="SimSun" w:hAnsi="Arial" w:cs="Arial"/>
          <w:bCs/>
          <w:i/>
          <w:color w:val="auto"/>
          <w:sz w:val="20"/>
          <w:szCs w:val="20"/>
          <w:lang w:val="en-GB"/>
        </w:rPr>
        <w:t>.</w:t>
      </w:r>
      <w:r w:rsidRPr="00A915A6">
        <w:rPr>
          <w:rFonts w:eastAsia="SimSun" w:hAnsi="Arial" w:cs="Arial"/>
          <w:b/>
          <w:bCs/>
          <w:i/>
          <w:color w:val="auto"/>
          <w:sz w:val="20"/>
          <w:szCs w:val="20"/>
          <w:lang w:val="en-GB"/>
        </w:rPr>
        <w:t xml:space="preserve"> </w:t>
      </w:r>
    </w:p>
    <w:p w14:paraId="4BF7EED6" w14:textId="77777777" w:rsidR="00A34FBD" w:rsidRPr="00003EC0" w:rsidRDefault="00A34FBD" w:rsidP="00A34FBD">
      <w:pPr>
        <w:pStyle w:val="Body"/>
        <w:pBdr>
          <w:top w:val="none" w:sz="0" w:space="0" w:color="auto"/>
          <w:left w:val="none" w:sz="0" w:space="0" w:color="auto"/>
          <w:bottom w:val="none" w:sz="0" w:space="0" w:color="auto"/>
          <w:right w:val="none" w:sz="0" w:space="0" w:color="auto"/>
          <w:bar w:val="none" w:sz="0" w:color="auto"/>
        </w:pBdr>
        <w:spacing w:before="0" w:line="240" w:lineRule="auto"/>
        <w:jc w:val="both"/>
        <w:rPr>
          <w:rFonts w:eastAsia="SimSun" w:hAnsi="Arial" w:cs="Arial"/>
          <w:b/>
          <w:bCs/>
          <w:i/>
          <w:color w:val="auto"/>
          <w:lang w:val="en-GB"/>
        </w:rPr>
      </w:pPr>
    </w:p>
    <w:p w14:paraId="6A4C7762" w14:textId="77777777" w:rsidR="00A34FBD" w:rsidRPr="00003EC0" w:rsidRDefault="00A34FBD" w:rsidP="00A34FBD">
      <w:pPr>
        <w:jc w:val="both"/>
      </w:pPr>
    </w:p>
    <w:p w14:paraId="763CD62C" w14:textId="77777777" w:rsidR="001851FF" w:rsidRDefault="001851FF">
      <w:pPr>
        <w:spacing w:after="200" w:line="276" w:lineRule="auto"/>
        <w:rPr>
          <w:rFonts w:eastAsiaTheme="majorEastAsia"/>
          <w:b/>
          <w:bCs/>
          <w:szCs w:val="26"/>
        </w:rPr>
      </w:pPr>
      <w:r>
        <w:br w:type="page"/>
      </w:r>
    </w:p>
    <w:p w14:paraId="34A599B5" w14:textId="21A9815F" w:rsidR="00EB54C7" w:rsidRDefault="00DE4BC5" w:rsidP="00CD69B8">
      <w:pPr>
        <w:pStyle w:val="Heading2"/>
      </w:pPr>
      <w:bookmarkStart w:id="26" w:name="_Toc2697730"/>
      <w:r>
        <w:lastRenderedPageBreak/>
        <w:t>Disability and p</w:t>
      </w:r>
      <w:r w:rsidR="005C65DC">
        <w:t>overty</w:t>
      </w:r>
      <w:r w:rsidR="00D939BF">
        <w:t xml:space="preserve"> </w:t>
      </w:r>
      <w:r>
        <w:t>or</w:t>
      </w:r>
      <w:r w:rsidR="00D939BF">
        <w:t xml:space="preserve"> social exclusion data</w:t>
      </w:r>
      <w:r w:rsidR="001F6793">
        <w:t xml:space="preserve"> from EU-SILC</w:t>
      </w:r>
      <w:bookmarkEnd w:id="26"/>
    </w:p>
    <w:p w14:paraId="7ED4CD6F" w14:textId="77777777" w:rsidR="002C6495" w:rsidRPr="002C6495" w:rsidRDefault="002C6495" w:rsidP="002C6495"/>
    <w:p w14:paraId="5F6C20D8" w14:textId="5D7783B5" w:rsidR="0098674F" w:rsidRDefault="0098674F" w:rsidP="00EE70FF">
      <w:pPr>
        <w:pStyle w:val="Caption"/>
      </w:pPr>
      <w:r>
        <w:t xml:space="preserve">Table </w:t>
      </w:r>
      <w:r w:rsidR="00F01BC2">
        <w:rPr>
          <w:noProof/>
        </w:rPr>
        <w:fldChar w:fldCharType="begin"/>
      </w:r>
      <w:r w:rsidR="00F01BC2">
        <w:rPr>
          <w:noProof/>
        </w:rPr>
        <w:instrText xml:space="preserve"> SEQ Table \* ARABIC </w:instrText>
      </w:r>
      <w:r w:rsidR="00F01BC2">
        <w:rPr>
          <w:noProof/>
        </w:rPr>
        <w:fldChar w:fldCharType="separate"/>
      </w:r>
      <w:r w:rsidR="00FE3D2A">
        <w:rPr>
          <w:noProof/>
        </w:rPr>
        <w:t>19</w:t>
      </w:r>
      <w:r w:rsidR="00F01BC2">
        <w:rPr>
          <w:noProof/>
        </w:rPr>
        <w:fldChar w:fldCharType="end"/>
      </w:r>
      <w:r>
        <w:t>:</w:t>
      </w:r>
      <w:r w:rsidRPr="0098674F">
        <w:t xml:space="preserve"> </w:t>
      </w:r>
      <w:r w:rsidR="00EE70FF">
        <w:t>People at risk of poverty or social exclusion, by disability and risk</w:t>
      </w:r>
      <w:r w:rsidR="00B912FC">
        <w:t xml:space="preserve"> </w:t>
      </w:r>
      <w:r>
        <w:t>(</w:t>
      </w:r>
      <w:r w:rsidR="00B912FC">
        <w:t>aged 16-59</w:t>
      </w:r>
      <w:r>
        <w:t>)</w:t>
      </w:r>
    </w:p>
    <w:p w14:paraId="051FC862" w14:textId="77777777" w:rsidR="00431571" w:rsidRDefault="00431571" w:rsidP="00431571">
      <w:r>
        <w:rPr>
          <w:noProof/>
          <w:lang w:eastAsia="zh-CN"/>
        </w:rPr>
        <w:drawing>
          <wp:inline distT="0" distB="0" distL="0" distR="0" wp14:anchorId="2F56FC9E" wp14:editId="372608E6">
            <wp:extent cx="5486400" cy="2109458"/>
            <wp:effectExtent l="0" t="0" r="19050" b="24765"/>
            <wp:docPr id="32" name="Chart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2C9FCBF7" w14:textId="315C3385" w:rsidR="000E016C" w:rsidRDefault="000E016C" w:rsidP="00EE70FF">
      <w:pPr>
        <w:pStyle w:val="Caption"/>
      </w:pPr>
      <w:r>
        <w:t xml:space="preserve">Table </w:t>
      </w:r>
      <w:r w:rsidR="00F01BC2">
        <w:rPr>
          <w:noProof/>
        </w:rPr>
        <w:fldChar w:fldCharType="begin"/>
      </w:r>
      <w:r w:rsidR="00F01BC2">
        <w:rPr>
          <w:noProof/>
        </w:rPr>
        <w:instrText xml:space="preserve"> SEQ Table \* ARABIC </w:instrText>
      </w:r>
      <w:r w:rsidR="00F01BC2">
        <w:rPr>
          <w:noProof/>
        </w:rPr>
        <w:fldChar w:fldCharType="separate"/>
      </w:r>
      <w:r w:rsidR="00FE3D2A">
        <w:rPr>
          <w:noProof/>
        </w:rPr>
        <w:t>20</w:t>
      </w:r>
      <w:r w:rsidR="00F01BC2">
        <w:rPr>
          <w:noProof/>
        </w:rPr>
        <w:fldChar w:fldCharType="end"/>
      </w:r>
      <w:r>
        <w:t xml:space="preserve">: </w:t>
      </w:r>
      <w:r w:rsidRPr="00A37C30">
        <w:t xml:space="preserve">People </w:t>
      </w:r>
      <w:r w:rsidR="00EE70FF">
        <w:t>at risk of</w:t>
      </w:r>
      <w:r w:rsidRPr="00A37C30">
        <w:t xml:space="preserve"> poverty </w:t>
      </w:r>
      <w:r w:rsidR="00EE70FF">
        <w:t>or social</w:t>
      </w:r>
      <w:r w:rsidRPr="00A37C30">
        <w:t xml:space="preserve"> exclusion</w:t>
      </w:r>
      <w:r w:rsidR="00EE70FF">
        <w:t>,</w:t>
      </w:r>
      <w:r w:rsidRPr="00A37C30">
        <w:t xml:space="preserve"> by </w:t>
      </w:r>
      <w:r w:rsidR="0056052E">
        <w:t xml:space="preserve">disability and </w:t>
      </w:r>
      <w:r>
        <w:t xml:space="preserve">gender </w:t>
      </w:r>
      <w:r w:rsidRPr="00A37C30">
        <w:t>(aged 16</w:t>
      </w:r>
      <w:r>
        <w:t>+</w:t>
      </w:r>
      <w:r w:rsidRPr="00A37C30">
        <w:t>)</w:t>
      </w:r>
    </w:p>
    <w:p w14:paraId="4A7677D4" w14:textId="77777777" w:rsidR="00431571" w:rsidRDefault="00431571" w:rsidP="00431571">
      <w:r>
        <w:rPr>
          <w:noProof/>
          <w:lang w:eastAsia="zh-CN"/>
        </w:rPr>
        <w:drawing>
          <wp:inline distT="0" distB="0" distL="0" distR="0" wp14:anchorId="3DDFD596" wp14:editId="4F119F9A">
            <wp:extent cx="5486400" cy="1774479"/>
            <wp:effectExtent l="0" t="0" r="19050" b="16510"/>
            <wp:docPr id="33" name="Chart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46D4F933" w14:textId="1621D541" w:rsidR="002A6F1E" w:rsidRDefault="002A6F1E" w:rsidP="0056052E">
      <w:pPr>
        <w:pStyle w:val="Caption"/>
      </w:pPr>
      <w:bookmarkStart w:id="27" w:name="_Ref521311464"/>
      <w:r>
        <w:t xml:space="preserve">Table </w:t>
      </w:r>
      <w:r w:rsidR="00F01BC2">
        <w:rPr>
          <w:noProof/>
        </w:rPr>
        <w:fldChar w:fldCharType="begin"/>
      </w:r>
      <w:r w:rsidR="00F01BC2">
        <w:rPr>
          <w:noProof/>
        </w:rPr>
        <w:instrText xml:space="preserve"> SEQ Table \* ARABIC </w:instrText>
      </w:r>
      <w:r w:rsidR="00F01BC2">
        <w:rPr>
          <w:noProof/>
        </w:rPr>
        <w:fldChar w:fldCharType="separate"/>
      </w:r>
      <w:r w:rsidR="00FE3D2A">
        <w:rPr>
          <w:noProof/>
        </w:rPr>
        <w:t>21</w:t>
      </w:r>
      <w:r w:rsidR="00F01BC2">
        <w:rPr>
          <w:noProof/>
        </w:rPr>
        <w:fldChar w:fldCharType="end"/>
      </w:r>
      <w:bookmarkEnd w:id="27"/>
      <w:r>
        <w:t>: Overall</w:t>
      </w:r>
      <w:r w:rsidR="003B422F">
        <w:t xml:space="preserve"> risk of</w:t>
      </w:r>
      <w:r w:rsidRPr="00C679CD">
        <w:t xml:space="preserve"> household poverty </w:t>
      </w:r>
      <w:r w:rsidR="00722DE1">
        <w:t xml:space="preserve">or exclusion </w:t>
      </w:r>
      <w:r w:rsidR="003B422F">
        <w:t xml:space="preserve">by </w:t>
      </w:r>
      <w:r w:rsidR="0056052E">
        <w:t>disability and</w:t>
      </w:r>
      <w:r w:rsidR="000E016C">
        <w:t xml:space="preserve"> age </w:t>
      </w:r>
      <w:r w:rsidRPr="00C679CD">
        <w:t>(</w:t>
      </w:r>
      <w:r w:rsidR="00CE5537">
        <w:t>aged 16+</w:t>
      </w:r>
      <w:r w:rsidRPr="00C679CD">
        <w:t>)</w:t>
      </w:r>
    </w:p>
    <w:p w14:paraId="63268DE5" w14:textId="77777777" w:rsidR="00431571" w:rsidRDefault="00431571" w:rsidP="00431571">
      <w:r>
        <w:rPr>
          <w:noProof/>
          <w:lang w:eastAsia="zh-CN"/>
        </w:rPr>
        <w:drawing>
          <wp:inline distT="0" distB="0" distL="0" distR="0" wp14:anchorId="591E84EC" wp14:editId="02DE3FCF">
            <wp:extent cx="5486400" cy="1964602"/>
            <wp:effectExtent l="0" t="0" r="19050" b="17145"/>
            <wp:docPr id="34" name="Chart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04290BBD" w14:textId="63D33589" w:rsidR="00755A21" w:rsidRDefault="00755A21" w:rsidP="00EE70FF">
      <w:pPr>
        <w:pStyle w:val="Caption"/>
        <w:keepNext/>
      </w:pPr>
      <w:r>
        <w:lastRenderedPageBreak/>
        <w:t xml:space="preserve">Table </w:t>
      </w:r>
      <w:r w:rsidR="00F01BC2">
        <w:rPr>
          <w:noProof/>
        </w:rPr>
        <w:fldChar w:fldCharType="begin"/>
      </w:r>
      <w:r w:rsidR="00F01BC2">
        <w:rPr>
          <w:noProof/>
        </w:rPr>
        <w:instrText xml:space="preserve"> SEQ Table \* ARABIC </w:instrText>
      </w:r>
      <w:r w:rsidR="00F01BC2">
        <w:rPr>
          <w:noProof/>
        </w:rPr>
        <w:fldChar w:fldCharType="separate"/>
      </w:r>
      <w:r w:rsidR="00FE3D2A">
        <w:rPr>
          <w:noProof/>
        </w:rPr>
        <w:t>22</w:t>
      </w:r>
      <w:r w:rsidR="00F01BC2">
        <w:rPr>
          <w:noProof/>
        </w:rPr>
        <w:fldChar w:fldCharType="end"/>
      </w:r>
      <w:r>
        <w:t xml:space="preserve">: </w:t>
      </w:r>
      <w:r w:rsidR="00722DE1">
        <w:t>T</w:t>
      </w:r>
      <w:r w:rsidR="0010423F">
        <w:t>rend</w:t>
      </w:r>
      <w:r w:rsidR="0056052E">
        <w:t>s</w:t>
      </w:r>
      <w:r w:rsidR="0010423F">
        <w:t xml:space="preserve"> in household risk of poverty </w:t>
      </w:r>
      <w:r w:rsidR="00EE70FF">
        <w:t>or social</w:t>
      </w:r>
      <w:r w:rsidR="0010423F">
        <w:t xml:space="preserve"> exclusion</w:t>
      </w:r>
      <w:r w:rsidR="00EE70FF">
        <w:t>,</w:t>
      </w:r>
      <w:r w:rsidRPr="00755A21">
        <w:t xml:space="preserve"> </w:t>
      </w:r>
      <w:r w:rsidR="00722DE1">
        <w:t xml:space="preserve">by </w:t>
      </w:r>
      <w:r w:rsidR="0056052E">
        <w:t xml:space="preserve">disability and </w:t>
      </w:r>
      <w:r w:rsidR="00EE70FF">
        <w:t>age group</w:t>
      </w:r>
    </w:p>
    <w:p w14:paraId="490B8DC2" w14:textId="77777777" w:rsidR="00431571" w:rsidRDefault="00431571" w:rsidP="00431571">
      <w:r>
        <w:rPr>
          <w:noProof/>
          <w:lang w:eastAsia="zh-CN"/>
        </w:rPr>
        <w:drawing>
          <wp:inline distT="0" distB="0" distL="0" distR="0" wp14:anchorId="459AB0B4" wp14:editId="5A79BB70">
            <wp:extent cx="5486400" cy="3865830"/>
            <wp:effectExtent l="0" t="0" r="19050" b="20955"/>
            <wp:docPr id="35" name="Chart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5B4A1F2C" w14:textId="77777777" w:rsidR="00431571" w:rsidRDefault="00431571" w:rsidP="002C6495">
      <w:pPr>
        <w:pStyle w:val="Sourcereference"/>
        <w:spacing w:after="0"/>
        <w:rPr>
          <w:lang w:eastAsia="en-GB"/>
        </w:rPr>
      </w:pPr>
      <w:r w:rsidRPr="00E024C9">
        <w:t xml:space="preserve">Source: </w:t>
      </w:r>
      <w:r>
        <w:rPr>
          <w:lang w:eastAsia="en-GB"/>
        </w:rPr>
        <w:t>EU-SILC UDB 2016 – version of March 2018</w:t>
      </w:r>
      <w:r w:rsidRPr="00E024C9">
        <w:rPr>
          <w:lang w:eastAsia="en-GB"/>
        </w:rPr>
        <w:t xml:space="preserve"> (and previous UDB)</w:t>
      </w:r>
    </w:p>
    <w:p w14:paraId="2721C094" w14:textId="64EE7566" w:rsidR="001F6793" w:rsidRDefault="001F6793" w:rsidP="002C6495">
      <w:pPr>
        <w:pStyle w:val="Sourcereference"/>
        <w:spacing w:after="0"/>
        <w:rPr>
          <w:lang w:eastAsia="en-GB"/>
        </w:rPr>
      </w:pPr>
      <w:r>
        <w:rPr>
          <w:lang w:eastAsia="en-GB"/>
        </w:rPr>
        <w:t xml:space="preserve">Note: </w:t>
      </w:r>
      <w:r w:rsidRPr="001F6793">
        <w:rPr>
          <w:lang w:eastAsia="en-GB"/>
        </w:rPr>
        <w:t>The risks for older people do not include work intensity (Eurostat refers to the age group 0-59 for this measure) and the survey does not distinguish ‘activity limitation’ (the proxy for impairment/disability) for children under the age of 16.</w:t>
      </w:r>
    </w:p>
    <w:p w14:paraId="2B1AAE89" w14:textId="77777777" w:rsidR="002C6495" w:rsidRPr="002C6495" w:rsidRDefault="002C6495" w:rsidP="002C6495">
      <w:pPr>
        <w:pStyle w:val="Sourcereference"/>
        <w:spacing w:after="0"/>
        <w:rPr>
          <w:sz w:val="24"/>
          <w:lang w:eastAsia="en-GB"/>
        </w:rPr>
      </w:pPr>
    </w:p>
    <w:p w14:paraId="16F140C3" w14:textId="5CCE3A70" w:rsidR="001851FF" w:rsidRDefault="001851FF" w:rsidP="002C6495">
      <w:pPr>
        <w:pStyle w:val="Heading3"/>
        <w:keepNext w:val="0"/>
        <w:keepLines w:val="0"/>
        <w:ind w:left="0" w:firstLine="0"/>
      </w:pPr>
      <w:bookmarkStart w:id="28" w:name="_Toc2697731"/>
      <w:r>
        <w:t>Alternative sources of national disability poverty data</w:t>
      </w:r>
      <w:bookmarkEnd w:id="28"/>
    </w:p>
    <w:p w14:paraId="0DEF71D5" w14:textId="77777777" w:rsidR="00F01BC2" w:rsidRDefault="00F01BC2" w:rsidP="00F01BC2">
      <w:pPr>
        <w:pStyle w:val="Un-numberedsubheading"/>
        <w:spacing w:after="0"/>
        <w:jc w:val="both"/>
        <w:rPr>
          <w:b w:val="0"/>
          <w:bCs/>
        </w:rPr>
      </w:pPr>
    </w:p>
    <w:p w14:paraId="6EA4B08E" w14:textId="35EEA928" w:rsidR="001851FF" w:rsidRDefault="001851FF" w:rsidP="00F01BC2">
      <w:pPr>
        <w:pStyle w:val="Un-numberedsubheading"/>
        <w:spacing w:after="0"/>
        <w:jc w:val="both"/>
        <w:rPr>
          <w:b w:val="0"/>
          <w:bCs/>
        </w:rPr>
      </w:pPr>
      <w:r>
        <w:rPr>
          <w:b w:val="0"/>
          <w:bCs/>
        </w:rPr>
        <w:t>I</w:t>
      </w:r>
      <w:r w:rsidR="00F01BC2">
        <w:rPr>
          <w:b w:val="0"/>
          <w:bCs/>
        </w:rPr>
        <w:t>n</w:t>
      </w:r>
      <w:r>
        <w:rPr>
          <w:b w:val="0"/>
          <w:bCs/>
        </w:rPr>
        <w:t xml:space="preserve"> general, the </w:t>
      </w:r>
      <w:r w:rsidRPr="001851FF">
        <w:rPr>
          <w:b w:val="0"/>
          <w:bCs/>
        </w:rPr>
        <w:t xml:space="preserve">EU-SILC </w:t>
      </w:r>
      <w:r>
        <w:rPr>
          <w:b w:val="0"/>
          <w:bCs/>
        </w:rPr>
        <w:t>data provides the most comprehensive and reliable source concerning poverty or social exclusion rates in the Member States. However, national disability surveys or studies may offer additional information.</w:t>
      </w:r>
    </w:p>
    <w:p w14:paraId="41475654" w14:textId="77777777" w:rsidR="0078310B" w:rsidRDefault="0078310B" w:rsidP="00F01BC2">
      <w:pPr>
        <w:pStyle w:val="Un-numberedsubheading"/>
        <w:spacing w:after="0"/>
        <w:rPr>
          <w:b w:val="0"/>
          <w:bCs/>
        </w:rPr>
      </w:pPr>
    </w:p>
    <w:p w14:paraId="336D9425" w14:textId="77777777" w:rsidR="006258A6" w:rsidRPr="00003EC0" w:rsidRDefault="006258A6" w:rsidP="006258A6">
      <w:pPr>
        <w:pStyle w:val="Body"/>
        <w:pBdr>
          <w:top w:val="none" w:sz="0" w:space="0" w:color="auto"/>
          <w:left w:val="none" w:sz="0" w:space="0" w:color="auto"/>
          <w:bottom w:val="none" w:sz="0" w:space="0" w:color="auto"/>
          <w:right w:val="none" w:sz="0" w:space="0" w:color="auto"/>
          <w:bar w:val="none" w:sz="0" w:color="auto"/>
        </w:pBdr>
        <w:spacing w:before="0" w:line="240" w:lineRule="auto"/>
        <w:jc w:val="both"/>
        <w:rPr>
          <w:rFonts w:hAnsi="Arial" w:cs="Arial"/>
          <w:lang w:val="en-GB"/>
        </w:rPr>
      </w:pPr>
      <w:r w:rsidRPr="00003EC0">
        <w:rPr>
          <w:rFonts w:hAnsi="Arial" w:cs="Arial"/>
          <w:lang w:val="en-GB"/>
        </w:rPr>
        <w:t xml:space="preserve">The following data was included in the 2014, 2015 and 2016 ANED reports. There is no other recent data to compare with. </w:t>
      </w:r>
    </w:p>
    <w:p w14:paraId="0DD9247D" w14:textId="77777777" w:rsidR="006258A6" w:rsidRPr="00003EC0" w:rsidRDefault="006258A6" w:rsidP="006258A6">
      <w:pPr>
        <w:pStyle w:val="Body"/>
        <w:pBdr>
          <w:top w:val="none" w:sz="0" w:space="0" w:color="auto"/>
          <w:left w:val="none" w:sz="0" w:space="0" w:color="auto"/>
          <w:bottom w:val="none" w:sz="0" w:space="0" w:color="auto"/>
          <w:right w:val="none" w:sz="0" w:space="0" w:color="auto"/>
          <w:bar w:val="none" w:sz="0" w:color="auto"/>
        </w:pBdr>
        <w:spacing w:before="0" w:line="240" w:lineRule="auto"/>
        <w:jc w:val="both"/>
        <w:rPr>
          <w:rFonts w:hAnsi="Arial" w:cs="Arial"/>
          <w:lang w:val="en-GB"/>
        </w:rPr>
      </w:pPr>
    </w:p>
    <w:p w14:paraId="5E59891A" w14:textId="16920994" w:rsidR="006258A6" w:rsidRPr="00003EC0" w:rsidRDefault="006258A6" w:rsidP="002F455E">
      <w:pPr>
        <w:pStyle w:val="Body"/>
        <w:pBdr>
          <w:top w:val="none" w:sz="0" w:space="0" w:color="auto"/>
          <w:left w:val="none" w:sz="0" w:space="0" w:color="auto"/>
          <w:bottom w:val="none" w:sz="0" w:space="0" w:color="auto"/>
          <w:right w:val="none" w:sz="0" w:space="0" w:color="auto"/>
          <w:bar w:val="none" w:sz="0" w:color="auto"/>
        </w:pBdr>
        <w:spacing w:before="0" w:line="240" w:lineRule="auto"/>
        <w:jc w:val="both"/>
        <w:rPr>
          <w:rFonts w:hAnsi="Arial" w:cs="Arial"/>
          <w:lang w:val="en-GB"/>
        </w:rPr>
      </w:pPr>
      <w:r w:rsidRPr="00003EC0">
        <w:rPr>
          <w:rFonts w:hAnsi="Arial" w:cs="Arial"/>
          <w:lang w:val="en-GB"/>
        </w:rPr>
        <w:t>Research carried out by the Commission for the Rights of Persons with Disability (CRPD) in 2012 provides indicators of income levels of disabled people. It should be noted that this research is based on a sample of 600 persons from CRPD’s own Register of Disabled Persons. This is a voluntary register and is not necessarily representative of all disabled persons in Malta.</w:t>
      </w:r>
      <w:r w:rsidR="002F455E">
        <w:rPr>
          <w:rStyle w:val="FootnoteReference"/>
          <w:rFonts w:hAnsi="Arial" w:cs="Arial"/>
          <w:lang w:val="en-GB"/>
        </w:rPr>
        <w:footnoteReference w:id="76"/>
      </w:r>
      <w:r w:rsidRPr="00003EC0">
        <w:rPr>
          <w:rFonts w:hAnsi="Arial" w:cs="Arial"/>
          <w:lang w:val="en-GB"/>
        </w:rPr>
        <w:t xml:space="preserve"> </w:t>
      </w:r>
    </w:p>
    <w:p w14:paraId="2BEDA567" w14:textId="77777777" w:rsidR="006258A6" w:rsidRPr="00003EC0" w:rsidRDefault="006258A6" w:rsidP="006258A6">
      <w:pPr>
        <w:pStyle w:val="Body"/>
        <w:pBdr>
          <w:top w:val="none" w:sz="0" w:space="0" w:color="auto"/>
          <w:left w:val="none" w:sz="0" w:space="0" w:color="auto"/>
          <w:bottom w:val="none" w:sz="0" w:space="0" w:color="auto"/>
          <w:right w:val="none" w:sz="0" w:space="0" w:color="auto"/>
          <w:bar w:val="none" w:sz="0" w:color="auto"/>
        </w:pBdr>
        <w:spacing w:before="0" w:line="240" w:lineRule="auto"/>
        <w:jc w:val="both"/>
        <w:rPr>
          <w:rFonts w:hAnsi="Arial" w:cs="Arial"/>
          <w:lang w:val="en-GB"/>
        </w:rPr>
      </w:pPr>
    </w:p>
    <w:p w14:paraId="56EF3D07" w14:textId="77777777" w:rsidR="006258A6" w:rsidRPr="00003EC0" w:rsidRDefault="006258A6" w:rsidP="006258A6">
      <w:pPr>
        <w:pStyle w:val="Body"/>
        <w:pBdr>
          <w:top w:val="none" w:sz="0" w:space="0" w:color="auto"/>
          <w:left w:val="none" w:sz="0" w:space="0" w:color="auto"/>
          <w:bottom w:val="none" w:sz="0" w:space="0" w:color="auto"/>
          <w:right w:val="none" w:sz="0" w:space="0" w:color="auto"/>
          <w:bar w:val="none" w:sz="0" w:color="auto"/>
        </w:pBdr>
        <w:spacing w:before="0" w:line="240" w:lineRule="auto"/>
        <w:jc w:val="both"/>
        <w:rPr>
          <w:rFonts w:hAnsi="Arial" w:cs="Arial"/>
          <w:lang w:val="en-GB"/>
        </w:rPr>
      </w:pPr>
      <w:r w:rsidRPr="00003EC0">
        <w:rPr>
          <w:rFonts w:hAnsi="Arial" w:cs="Arial"/>
          <w:lang w:val="en-GB"/>
        </w:rPr>
        <w:t>The salient data are as follows:</w:t>
      </w:r>
    </w:p>
    <w:p w14:paraId="330522DD" w14:textId="77777777" w:rsidR="006258A6" w:rsidRPr="00003EC0" w:rsidRDefault="006258A6" w:rsidP="006258A6">
      <w:pPr>
        <w:pStyle w:val="Body"/>
        <w:pBdr>
          <w:top w:val="none" w:sz="0" w:space="0" w:color="auto"/>
          <w:left w:val="none" w:sz="0" w:space="0" w:color="auto"/>
          <w:bottom w:val="none" w:sz="0" w:space="0" w:color="auto"/>
          <w:right w:val="none" w:sz="0" w:space="0" w:color="auto"/>
          <w:bar w:val="none" w:sz="0" w:color="auto"/>
        </w:pBdr>
        <w:spacing w:before="0" w:line="240" w:lineRule="auto"/>
        <w:jc w:val="both"/>
        <w:rPr>
          <w:rFonts w:hAnsi="Arial" w:cs="Arial"/>
          <w:lang w:val="en-GB"/>
        </w:rPr>
      </w:pPr>
    </w:p>
    <w:p w14:paraId="671752A6" w14:textId="14580A0B" w:rsidR="006258A6" w:rsidRPr="00003EC0" w:rsidRDefault="006258A6" w:rsidP="00A14357">
      <w:pPr>
        <w:pStyle w:val="ListParagraph"/>
        <w:numPr>
          <w:ilvl w:val="0"/>
          <w:numId w:val="41"/>
        </w:numPr>
        <w:ind w:left="567" w:hanging="567"/>
        <w:jc w:val="both"/>
      </w:pPr>
      <w:r w:rsidRPr="00003EC0">
        <w:t xml:space="preserve">40.3% (242 persons) reported that they </w:t>
      </w:r>
      <w:r w:rsidR="004C06E7">
        <w:t>had</w:t>
      </w:r>
      <w:r w:rsidRPr="00003EC0">
        <w:t xml:space="preserve"> an income of </w:t>
      </w:r>
      <w:r>
        <w:t>€ </w:t>
      </w:r>
      <w:r w:rsidRPr="00003EC0">
        <w:t xml:space="preserve">500 </w:t>
      </w:r>
      <w:r w:rsidR="00CB4E61">
        <w:t xml:space="preserve">monthly </w:t>
      </w:r>
      <w:r w:rsidRPr="00003EC0">
        <w:t>or less</w:t>
      </w:r>
      <w:r w:rsidR="004C06E7">
        <w:t xml:space="preserve"> in 2012</w:t>
      </w:r>
      <w:r w:rsidRPr="00003EC0">
        <w:t>;</w:t>
      </w:r>
    </w:p>
    <w:p w14:paraId="04CA8665" w14:textId="10C90E05" w:rsidR="006258A6" w:rsidRPr="00003EC0" w:rsidRDefault="006258A6" w:rsidP="00A14357">
      <w:pPr>
        <w:pStyle w:val="ListParagraph"/>
        <w:numPr>
          <w:ilvl w:val="0"/>
          <w:numId w:val="41"/>
        </w:numPr>
        <w:ind w:left="567" w:hanging="567"/>
        <w:jc w:val="both"/>
      </w:pPr>
      <w:r w:rsidRPr="00003EC0">
        <w:lastRenderedPageBreak/>
        <w:t xml:space="preserve">27.3% (164 persons) reported that they have an income of </w:t>
      </w:r>
      <w:r>
        <w:t>€ </w:t>
      </w:r>
      <w:r w:rsidRPr="00003EC0">
        <w:t>501-</w:t>
      </w:r>
      <w:r>
        <w:t>€ </w:t>
      </w:r>
      <w:r w:rsidRPr="00003EC0">
        <w:t>700</w:t>
      </w:r>
      <w:r w:rsidR="00CB4E61">
        <w:t xml:space="preserve"> </w:t>
      </w:r>
      <w:proofErr w:type="gramStart"/>
      <w:r w:rsidR="00CB4E61">
        <w:t>monthly</w:t>
      </w:r>
      <w:proofErr w:type="gramEnd"/>
      <w:r w:rsidRPr="00003EC0">
        <w:t>;</w:t>
      </w:r>
    </w:p>
    <w:p w14:paraId="68928D3B" w14:textId="0C2B9CB4" w:rsidR="006258A6" w:rsidRPr="00003EC0" w:rsidRDefault="006258A6" w:rsidP="00A14357">
      <w:pPr>
        <w:pStyle w:val="ListParagraph"/>
        <w:numPr>
          <w:ilvl w:val="0"/>
          <w:numId w:val="41"/>
        </w:numPr>
        <w:ind w:left="567" w:hanging="567"/>
        <w:jc w:val="both"/>
      </w:pPr>
      <w:r w:rsidRPr="00003EC0">
        <w:t xml:space="preserve">20.7% (124 persons) reported that they have an income of </w:t>
      </w:r>
      <w:r>
        <w:t>€ </w:t>
      </w:r>
      <w:r w:rsidRPr="00003EC0">
        <w:t>701-</w:t>
      </w:r>
      <w:r>
        <w:t>€ </w:t>
      </w:r>
      <w:r w:rsidRPr="00003EC0">
        <w:t>1000</w:t>
      </w:r>
      <w:r w:rsidR="00CB4E61">
        <w:t xml:space="preserve"> monthly</w:t>
      </w:r>
      <w:r w:rsidRPr="00003EC0">
        <w:t>;</w:t>
      </w:r>
    </w:p>
    <w:p w14:paraId="594107A5" w14:textId="0027526D" w:rsidR="006258A6" w:rsidRPr="00003EC0" w:rsidRDefault="006258A6" w:rsidP="00A14357">
      <w:pPr>
        <w:pStyle w:val="ListParagraph"/>
        <w:numPr>
          <w:ilvl w:val="0"/>
          <w:numId w:val="41"/>
        </w:numPr>
        <w:ind w:left="567" w:hanging="567"/>
        <w:jc w:val="both"/>
      </w:pPr>
      <w:r w:rsidRPr="00003EC0">
        <w:t xml:space="preserve">5.9% (35 persons) reported that they have an income of </w:t>
      </w:r>
      <w:r>
        <w:t>€ </w:t>
      </w:r>
      <w:r w:rsidRPr="00003EC0">
        <w:t>1001 or more</w:t>
      </w:r>
      <w:r w:rsidR="00CB4E61">
        <w:t xml:space="preserve"> monthly</w:t>
      </w:r>
      <w:r w:rsidRPr="00003EC0">
        <w:t>;</w:t>
      </w:r>
    </w:p>
    <w:p w14:paraId="2ECF1E68" w14:textId="77777777" w:rsidR="006258A6" w:rsidRPr="00003EC0" w:rsidRDefault="006258A6" w:rsidP="00A14357">
      <w:pPr>
        <w:pStyle w:val="ListParagraph"/>
        <w:numPr>
          <w:ilvl w:val="0"/>
          <w:numId w:val="41"/>
        </w:numPr>
        <w:ind w:left="567" w:hanging="567"/>
        <w:jc w:val="both"/>
      </w:pPr>
      <w:r w:rsidRPr="00003EC0">
        <w:t xml:space="preserve">The remaining 5.8% (35 persons) did not wish to answer. </w:t>
      </w:r>
    </w:p>
    <w:p w14:paraId="5ACE50F9" w14:textId="77777777" w:rsidR="006258A6" w:rsidRPr="00003EC0" w:rsidRDefault="006258A6" w:rsidP="006258A6">
      <w:pPr>
        <w:pStyle w:val="Body"/>
        <w:pBdr>
          <w:top w:val="none" w:sz="0" w:space="0" w:color="auto"/>
          <w:left w:val="none" w:sz="0" w:space="0" w:color="auto"/>
          <w:bottom w:val="none" w:sz="0" w:space="0" w:color="auto"/>
          <w:right w:val="none" w:sz="0" w:space="0" w:color="auto"/>
          <w:bar w:val="none" w:sz="0" w:color="auto"/>
        </w:pBdr>
        <w:spacing w:before="0" w:line="240" w:lineRule="auto"/>
        <w:jc w:val="both"/>
        <w:rPr>
          <w:rFonts w:hAnsi="Arial" w:cs="Arial"/>
          <w:lang w:val="en-GB"/>
        </w:rPr>
      </w:pPr>
    </w:p>
    <w:p w14:paraId="38054E74" w14:textId="77777777" w:rsidR="006258A6" w:rsidRPr="00003EC0" w:rsidRDefault="006258A6" w:rsidP="006258A6">
      <w:pPr>
        <w:pStyle w:val="Body"/>
        <w:pBdr>
          <w:top w:val="none" w:sz="0" w:space="0" w:color="auto"/>
          <w:left w:val="none" w:sz="0" w:space="0" w:color="auto"/>
          <w:bottom w:val="none" w:sz="0" w:space="0" w:color="auto"/>
          <w:right w:val="none" w:sz="0" w:space="0" w:color="auto"/>
          <w:bar w:val="none" w:sz="0" w:color="auto"/>
        </w:pBdr>
        <w:spacing w:before="0" w:line="240" w:lineRule="auto"/>
        <w:jc w:val="both"/>
        <w:rPr>
          <w:rFonts w:hAnsi="Arial" w:cs="Arial"/>
          <w:lang w:val="en-GB"/>
        </w:rPr>
      </w:pPr>
      <w:r w:rsidRPr="00003EC0">
        <w:rPr>
          <w:rFonts w:hAnsi="Arial" w:cs="Arial"/>
          <w:lang w:val="en-GB"/>
        </w:rPr>
        <w:t>The differences between disabled men and women are as follows:</w:t>
      </w:r>
    </w:p>
    <w:p w14:paraId="3E9F847E" w14:textId="77777777" w:rsidR="006258A6" w:rsidRPr="00003EC0" w:rsidRDefault="006258A6" w:rsidP="006258A6">
      <w:pPr>
        <w:pStyle w:val="Body"/>
        <w:pBdr>
          <w:top w:val="none" w:sz="0" w:space="0" w:color="auto"/>
          <w:left w:val="none" w:sz="0" w:space="0" w:color="auto"/>
          <w:bottom w:val="none" w:sz="0" w:space="0" w:color="auto"/>
          <w:right w:val="none" w:sz="0" w:space="0" w:color="auto"/>
          <w:bar w:val="none" w:sz="0" w:color="auto"/>
        </w:pBdr>
        <w:spacing w:before="0" w:line="240" w:lineRule="auto"/>
        <w:jc w:val="both"/>
        <w:rPr>
          <w:rFonts w:hAnsi="Arial" w:cs="Arial"/>
          <w:lang w:val="en-GB"/>
        </w:rPr>
      </w:pPr>
    </w:p>
    <w:p w14:paraId="08AAB323" w14:textId="77777777" w:rsidR="006258A6" w:rsidRPr="00003EC0" w:rsidRDefault="006258A6" w:rsidP="00A14357">
      <w:pPr>
        <w:pStyle w:val="ListParagraph"/>
        <w:numPr>
          <w:ilvl w:val="0"/>
          <w:numId w:val="41"/>
        </w:numPr>
        <w:ind w:left="567" w:hanging="567"/>
        <w:jc w:val="both"/>
      </w:pPr>
      <w:r w:rsidRPr="00003EC0">
        <w:t xml:space="preserve">30.7% (98) of males and 51.2% (144) of females reported that they have an income of </w:t>
      </w:r>
      <w:r>
        <w:t>€ </w:t>
      </w:r>
      <w:r w:rsidRPr="00003EC0">
        <w:t>500 or less;</w:t>
      </w:r>
    </w:p>
    <w:p w14:paraId="17A705A2" w14:textId="77777777" w:rsidR="006258A6" w:rsidRPr="00003EC0" w:rsidRDefault="006258A6" w:rsidP="00A14357">
      <w:pPr>
        <w:pStyle w:val="ListParagraph"/>
        <w:numPr>
          <w:ilvl w:val="0"/>
          <w:numId w:val="41"/>
        </w:numPr>
        <w:ind w:left="567" w:hanging="567"/>
        <w:jc w:val="both"/>
      </w:pPr>
      <w:r w:rsidRPr="00003EC0">
        <w:t xml:space="preserve">30.4% (97) of males and 23.8% (67) of females reported that they have an income of </w:t>
      </w:r>
      <w:r>
        <w:t>€ </w:t>
      </w:r>
      <w:r w:rsidRPr="00003EC0">
        <w:t>501-</w:t>
      </w:r>
      <w:r>
        <w:t>€ </w:t>
      </w:r>
      <w:r w:rsidRPr="00003EC0">
        <w:t>700;</w:t>
      </w:r>
    </w:p>
    <w:p w14:paraId="7D8FC900" w14:textId="77777777" w:rsidR="006258A6" w:rsidRPr="00003EC0" w:rsidRDefault="006258A6" w:rsidP="00A14357">
      <w:pPr>
        <w:pStyle w:val="ListParagraph"/>
        <w:numPr>
          <w:ilvl w:val="0"/>
          <w:numId w:val="41"/>
        </w:numPr>
        <w:ind w:left="567" w:hanging="567"/>
        <w:jc w:val="both"/>
      </w:pPr>
      <w:r w:rsidRPr="00003EC0">
        <w:t xml:space="preserve">27.3% (87) of males and 13.2% (37) of females reported that they have an income of </w:t>
      </w:r>
      <w:r>
        <w:t>€ </w:t>
      </w:r>
      <w:r w:rsidRPr="00003EC0">
        <w:t>701-</w:t>
      </w:r>
      <w:r>
        <w:t>€ </w:t>
      </w:r>
      <w:r w:rsidRPr="00003EC0">
        <w:t>1000;</w:t>
      </w:r>
    </w:p>
    <w:p w14:paraId="101F0B33" w14:textId="77777777" w:rsidR="006258A6" w:rsidRPr="00003EC0" w:rsidRDefault="006258A6" w:rsidP="00A14357">
      <w:pPr>
        <w:pStyle w:val="ListParagraph"/>
        <w:numPr>
          <w:ilvl w:val="0"/>
          <w:numId w:val="41"/>
        </w:numPr>
        <w:ind w:left="567" w:hanging="567"/>
        <w:jc w:val="both"/>
      </w:pPr>
      <w:r w:rsidRPr="00003EC0">
        <w:t xml:space="preserve">9.1% (29) of males and 2.26% (6) of females reported that they have an income of </w:t>
      </w:r>
      <w:r>
        <w:t>€ </w:t>
      </w:r>
      <w:r w:rsidRPr="00003EC0">
        <w:t>1001 or more;</w:t>
      </w:r>
    </w:p>
    <w:p w14:paraId="11FD634B" w14:textId="77777777" w:rsidR="006258A6" w:rsidRPr="00003EC0" w:rsidRDefault="006258A6" w:rsidP="00A14357">
      <w:pPr>
        <w:pStyle w:val="ListParagraph"/>
        <w:numPr>
          <w:ilvl w:val="0"/>
          <w:numId w:val="41"/>
        </w:numPr>
        <w:ind w:left="567" w:hanging="567"/>
        <w:jc w:val="both"/>
      </w:pPr>
      <w:r w:rsidRPr="00003EC0">
        <w:t xml:space="preserve">The remaining 2.5% (8 males) and 9.6% (27 females) did not wish to answer. </w:t>
      </w:r>
    </w:p>
    <w:p w14:paraId="40D6FDD3" w14:textId="77777777" w:rsidR="006258A6" w:rsidRPr="00003EC0" w:rsidRDefault="006258A6" w:rsidP="006258A6">
      <w:pPr>
        <w:pStyle w:val="ListParagraph"/>
        <w:jc w:val="both"/>
      </w:pPr>
    </w:p>
    <w:p w14:paraId="12D46FBB" w14:textId="77777777" w:rsidR="006258A6" w:rsidRPr="00003EC0" w:rsidRDefault="006258A6" w:rsidP="006258A6">
      <w:pPr>
        <w:pStyle w:val="Body"/>
        <w:pBdr>
          <w:top w:val="none" w:sz="0" w:space="0" w:color="auto"/>
          <w:left w:val="none" w:sz="0" w:space="0" w:color="auto"/>
          <w:bottom w:val="none" w:sz="0" w:space="0" w:color="auto"/>
          <w:right w:val="none" w:sz="0" w:space="0" w:color="auto"/>
          <w:bar w:val="none" w:sz="0" w:color="auto"/>
        </w:pBdr>
        <w:spacing w:before="0" w:line="240" w:lineRule="auto"/>
        <w:jc w:val="both"/>
        <w:rPr>
          <w:rFonts w:hAnsi="Arial" w:cs="Arial"/>
          <w:lang w:val="en-GB"/>
        </w:rPr>
      </w:pPr>
      <w:r w:rsidRPr="00003EC0">
        <w:rPr>
          <w:rFonts w:hAnsi="Arial" w:cs="Arial"/>
          <w:lang w:val="en-GB"/>
        </w:rPr>
        <w:t>In terms of age groups, the following can be noted:</w:t>
      </w:r>
    </w:p>
    <w:p w14:paraId="7ACF17DF" w14:textId="77777777" w:rsidR="006258A6" w:rsidRPr="00003EC0" w:rsidRDefault="006258A6" w:rsidP="006258A6">
      <w:pPr>
        <w:pStyle w:val="Body"/>
        <w:pBdr>
          <w:top w:val="none" w:sz="0" w:space="0" w:color="auto"/>
          <w:left w:val="none" w:sz="0" w:space="0" w:color="auto"/>
          <w:bottom w:val="none" w:sz="0" w:space="0" w:color="auto"/>
          <w:right w:val="none" w:sz="0" w:space="0" w:color="auto"/>
          <w:bar w:val="none" w:sz="0" w:color="auto"/>
        </w:pBdr>
        <w:spacing w:before="0" w:line="240" w:lineRule="auto"/>
        <w:jc w:val="both"/>
        <w:rPr>
          <w:rFonts w:hAnsi="Arial" w:cs="Arial"/>
          <w:lang w:val="en-GB"/>
        </w:rPr>
      </w:pPr>
    </w:p>
    <w:p w14:paraId="75D3B607" w14:textId="77777777" w:rsidR="006258A6" w:rsidRPr="00003EC0" w:rsidRDefault="006258A6" w:rsidP="00A14357">
      <w:pPr>
        <w:pStyle w:val="ListParagraph"/>
        <w:numPr>
          <w:ilvl w:val="0"/>
          <w:numId w:val="41"/>
        </w:numPr>
        <w:ind w:left="567" w:hanging="567"/>
        <w:jc w:val="both"/>
      </w:pPr>
      <w:r w:rsidRPr="00003EC0">
        <w:t xml:space="preserve">100% of disabled people aged 1 to 20 (27 persons) have an income of </w:t>
      </w:r>
      <w:r>
        <w:t>€ </w:t>
      </w:r>
      <w:r w:rsidRPr="00003EC0">
        <w:t>500 or less.</w:t>
      </w:r>
    </w:p>
    <w:p w14:paraId="55FB19A9" w14:textId="77777777" w:rsidR="006258A6" w:rsidRPr="00003EC0" w:rsidRDefault="006258A6" w:rsidP="00A14357">
      <w:pPr>
        <w:pStyle w:val="ListParagraph"/>
        <w:numPr>
          <w:ilvl w:val="0"/>
          <w:numId w:val="41"/>
        </w:numPr>
        <w:ind w:left="567" w:hanging="567"/>
        <w:jc w:val="both"/>
      </w:pPr>
      <w:r w:rsidRPr="00003EC0">
        <w:t xml:space="preserve">In the 21-30 age group, 82.8% (29) persons have an income of </w:t>
      </w:r>
      <w:r>
        <w:t>€ </w:t>
      </w:r>
      <w:r w:rsidRPr="00003EC0">
        <w:t xml:space="preserve">500 or less. The percentages for the other income bands represent very small numbers. </w:t>
      </w:r>
    </w:p>
    <w:p w14:paraId="1D14509F" w14:textId="77777777" w:rsidR="006258A6" w:rsidRPr="00003EC0" w:rsidRDefault="006258A6" w:rsidP="00A14357">
      <w:pPr>
        <w:pStyle w:val="ListParagraph"/>
        <w:numPr>
          <w:ilvl w:val="0"/>
          <w:numId w:val="41"/>
        </w:numPr>
        <w:ind w:left="567" w:hanging="567"/>
        <w:jc w:val="both"/>
      </w:pPr>
      <w:r w:rsidRPr="00003EC0">
        <w:t xml:space="preserve">In the 31-40 age group, 62.2% (23) persons have an income of </w:t>
      </w:r>
      <w:r>
        <w:t>€ </w:t>
      </w:r>
      <w:r w:rsidRPr="00003EC0">
        <w:t>500 or less. The percentages for the other income bands represent very small numbers.</w:t>
      </w:r>
    </w:p>
    <w:p w14:paraId="2F65B0A4" w14:textId="77777777" w:rsidR="006258A6" w:rsidRPr="00003EC0" w:rsidRDefault="006258A6" w:rsidP="00A14357">
      <w:pPr>
        <w:pStyle w:val="ListParagraph"/>
        <w:numPr>
          <w:ilvl w:val="0"/>
          <w:numId w:val="41"/>
        </w:numPr>
        <w:ind w:left="567" w:hanging="567"/>
        <w:jc w:val="both"/>
      </w:pPr>
      <w:r w:rsidRPr="00003EC0">
        <w:t xml:space="preserve">In the 41-50 age group, 62.5% (30) persons have an income of </w:t>
      </w:r>
      <w:r>
        <w:t>€ </w:t>
      </w:r>
      <w:r w:rsidRPr="00003EC0">
        <w:t>500 or less. The percentages for the other income bands represent very small numbers.</w:t>
      </w:r>
    </w:p>
    <w:p w14:paraId="6B3644FD" w14:textId="77777777" w:rsidR="006258A6" w:rsidRPr="00003EC0" w:rsidRDefault="006258A6" w:rsidP="00A14357">
      <w:pPr>
        <w:pStyle w:val="ListParagraph"/>
        <w:numPr>
          <w:ilvl w:val="0"/>
          <w:numId w:val="41"/>
        </w:numPr>
        <w:ind w:left="567" w:hanging="567"/>
        <w:jc w:val="both"/>
      </w:pPr>
      <w:r w:rsidRPr="00003EC0">
        <w:t xml:space="preserve">In the 51-60 age group, 38.0% (30) persons have an income of </w:t>
      </w:r>
      <w:r>
        <w:t>€ </w:t>
      </w:r>
      <w:r w:rsidRPr="00003EC0">
        <w:t xml:space="preserve">500 or less; 25.3% (20) have an income of </w:t>
      </w:r>
      <w:r>
        <w:t>€ </w:t>
      </w:r>
      <w:r w:rsidRPr="00003EC0">
        <w:t>501-</w:t>
      </w:r>
      <w:r>
        <w:t>€ </w:t>
      </w:r>
      <w:r w:rsidRPr="00003EC0">
        <w:t xml:space="preserve">700; 20.3% (16) have an income of </w:t>
      </w:r>
      <w:r>
        <w:t>€ </w:t>
      </w:r>
      <w:r w:rsidRPr="00003EC0">
        <w:t>701-</w:t>
      </w:r>
      <w:r>
        <w:t>€ </w:t>
      </w:r>
      <w:r w:rsidRPr="00003EC0">
        <w:t xml:space="preserve">1000; 8.9% (7) have an income of </w:t>
      </w:r>
      <w:r>
        <w:t>€ </w:t>
      </w:r>
      <w:r w:rsidRPr="00003EC0">
        <w:t>1001 or more; 7.6% (6) did not wish to answer.</w:t>
      </w:r>
    </w:p>
    <w:p w14:paraId="1C018DB5" w14:textId="77777777" w:rsidR="006258A6" w:rsidRPr="00003EC0" w:rsidRDefault="006258A6" w:rsidP="00A14357">
      <w:pPr>
        <w:pStyle w:val="ListParagraph"/>
        <w:numPr>
          <w:ilvl w:val="0"/>
          <w:numId w:val="41"/>
        </w:numPr>
        <w:ind w:left="567" w:hanging="567"/>
        <w:jc w:val="both"/>
      </w:pPr>
      <w:r w:rsidRPr="00003EC0">
        <w:t xml:space="preserve">In the 61-70 age group, 28.9% (39) persons have an income of </w:t>
      </w:r>
      <w:r>
        <w:t>€ </w:t>
      </w:r>
      <w:r w:rsidRPr="00003EC0">
        <w:t xml:space="preserve">500 or less; 34.8% (47) have an income of </w:t>
      </w:r>
      <w:r>
        <w:t>€ </w:t>
      </w:r>
      <w:r w:rsidRPr="00003EC0">
        <w:t>501-</w:t>
      </w:r>
      <w:r>
        <w:t>€ </w:t>
      </w:r>
      <w:r w:rsidRPr="00003EC0">
        <w:t xml:space="preserve">700; 28.1% (38) have an income of </w:t>
      </w:r>
      <w:r>
        <w:t>€ </w:t>
      </w:r>
      <w:r w:rsidRPr="00003EC0">
        <w:t>701-</w:t>
      </w:r>
      <w:r>
        <w:t>€ </w:t>
      </w:r>
      <w:r w:rsidRPr="00003EC0">
        <w:t xml:space="preserve">1000; 16.5% (11) have an income of </w:t>
      </w:r>
      <w:r>
        <w:t>€ </w:t>
      </w:r>
      <w:r w:rsidRPr="00003EC0">
        <w:t>1001 or more; 5.2% (7) did not wish to answer.</w:t>
      </w:r>
    </w:p>
    <w:p w14:paraId="02A60C89" w14:textId="44DA16CE" w:rsidR="006258A6" w:rsidRPr="00003EC0" w:rsidRDefault="006258A6" w:rsidP="00A14357">
      <w:pPr>
        <w:pStyle w:val="ListParagraph"/>
        <w:numPr>
          <w:ilvl w:val="0"/>
          <w:numId w:val="41"/>
        </w:numPr>
        <w:ind w:left="567" w:hanging="567"/>
        <w:jc w:val="both"/>
      </w:pPr>
      <w:r w:rsidRPr="00003EC0">
        <w:t xml:space="preserve">In the 71+ age group, 28.2% (69) persons have an income of </w:t>
      </w:r>
      <w:r>
        <w:t>€ </w:t>
      </w:r>
      <w:r w:rsidRPr="00003EC0">
        <w:t xml:space="preserve">500 or less; 35.1% (86) have an income of </w:t>
      </w:r>
      <w:r>
        <w:t>€ </w:t>
      </w:r>
      <w:r w:rsidRPr="00003EC0">
        <w:t>501-</w:t>
      </w:r>
      <w:r>
        <w:t>€ </w:t>
      </w:r>
      <w:r w:rsidRPr="00003EC0">
        <w:t xml:space="preserve">700; 23.7% (58) have an income of </w:t>
      </w:r>
      <w:r>
        <w:t>€ </w:t>
      </w:r>
      <w:r w:rsidRPr="00003EC0">
        <w:t>701-</w:t>
      </w:r>
      <w:r>
        <w:t>€</w:t>
      </w:r>
      <w:r w:rsidRPr="00003EC0">
        <w:t>1</w:t>
      </w:r>
      <w:r w:rsidR="002F455E">
        <w:t>,</w:t>
      </w:r>
      <w:r w:rsidRPr="00003EC0">
        <w:t xml:space="preserve">000; 6.1% (15) have an income of </w:t>
      </w:r>
      <w:r>
        <w:t>€</w:t>
      </w:r>
      <w:r w:rsidR="002C6495">
        <w:t> </w:t>
      </w:r>
      <w:r w:rsidRPr="00003EC0">
        <w:t>1</w:t>
      </w:r>
      <w:r w:rsidR="002F455E">
        <w:t>,</w:t>
      </w:r>
      <w:r w:rsidRPr="00003EC0">
        <w:t>001 or more 6.9% (17) did not wish to answer.</w:t>
      </w:r>
    </w:p>
    <w:p w14:paraId="1EC2380A" w14:textId="2A6ABE24" w:rsidR="0078310B" w:rsidRPr="0078310B" w:rsidRDefault="0078310B" w:rsidP="00F01BC2">
      <w:pPr>
        <w:pStyle w:val="Un-numberedsubheading"/>
        <w:spacing w:after="0"/>
        <w:rPr>
          <w:bCs/>
        </w:rPr>
      </w:pPr>
    </w:p>
    <w:sectPr w:rsidR="0078310B" w:rsidRPr="0078310B" w:rsidSect="00694F9D">
      <w:headerReference w:type="default" r:id="rId29"/>
      <w:footerReference w:type="default" r:id="rId30"/>
      <w:pgSz w:w="11906" w:h="16838"/>
      <w:pgMar w:top="1985" w:right="1440" w:bottom="1440" w:left="1440"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FF6053" w14:textId="77777777" w:rsidR="00EE1F0A" w:rsidRDefault="00EE1F0A" w:rsidP="00AF323E">
      <w:r>
        <w:separator/>
      </w:r>
    </w:p>
  </w:endnote>
  <w:endnote w:type="continuationSeparator" w:id="0">
    <w:p w14:paraId="459300E2" w14:textId="77777777" w:rsidR="00EE1F0A" w:rsidRDefault="00EE1F0A" w:rsidP="00AF32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Gotham Rounded Book">
    <w:altName w:val="Calibri"/>
    <w:panose1 w:val="00000000000000000000"/>
    <w:charset w:val="00"/>
    <w:family w:val="swiss"/>
    <w:notTrueType/>
    <w:pitch w:val="default"/>
    <w:sig w:usb0="00000003" w:usb1="00000000" w:usb2="00000000" w:usb3="00000000" w:csb0="00000001" w:csb1="00000000"/>
  </w:font>
  <w:font w:name="Gotham-Book">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348902"/>
      <w:docPartObj>
        <w:docPartGallery w:val="Page Numbers (Bottom of Page)"/>
        <w:docPartUnique/>
      </w:docPartObj>
    </w:sdtPr>
    <w:sdtEndPr>
      <w:rPr>
        <w:noProof/>
      </w:rPr>
    </w:sdtEndPr>
    <w:sdtContent>
      <w:p w14:paraId="1C58CBB5" w14:textId="1E07CB02" w:rsidR="00EE1F0A" w:rsidRDefault="00EE1F0A" w:rsidP="00694F9D">
        <w:pPr>
          <w:pStyle w:val="Footer"/>
          <w:jc w:val="center"/>
        </w:pPr>
        <w:r>
          <w:fldChar w:fldCharType="begin"/>
        </w:r>
        <w:r>
          <w:instrText xml:space="preserve"> PAGE   \* MERGEFORMAT </w:instrText>
        </w:r>
        <w:r>
          <w:fldChar w:fldCharType="separate"/>
        </w:r>
        <w:r>
          <w:rPr>
            <w:noProof/>
          </w:rPr>
          <w:t>27</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BE28E0" w14:textId="77777777" w:rsidR="00EE1F0A" w:rsidRDefault="00EE1F0A" w:rsidP="00AF323E">
      <w:r>
        <w:separator/>
      </w:r>
    </w:p>
  </w:footnote>
  <w:footnote w:type="continuationSeparator" w:id="0">
    <w:p w14:paraId="7F5B8EA1" w14:textId="77777777" w:rsidR="00EE1F0A" w:rsidRDefault="00EE1F0A" w:rsidP="00AF323E">
      <w:r>
        <w:continuationSeparator/>
      </w:r>
    </w:p>
  </w:footnote>
  <w:footnote w:id="1">
    <w:p w14:paraId="5D4DAF02" w14:textId="2DE9A46F" w:rsidR="00EE1F0A" w:rsidRPr="00A14357" w:rsidRDefault="00EE1F0A" w:rsidP="00A14357">
      <w:pPr>
        <w:pStyle w:val="FootnoteText"/>
        <w:ind w:left="284" w:hanging="284"/>
      </w:pPr>
      <w:r w:rsidRPr="00A14357">
        <w:rPr>
          <w:rStyle w:val="FootnoteReference"/>
        </w:rPr>
        <w:footnoteRef/>
      </w:r>
      <w:r w:rsidRPr="00A14357">
        <w:t xml:space="preserve"> </w:t>
      </w:r>
      <w:r w:rsidR="00A14357">
        <w:tab/>
      </w:r>
      <w:r w:rsidRPr="00A14357">
        <w:t xml:space="preserve">Although the percentage of disabled students at MCAST showed a slight dip in the last academic year. </w:t>
      </w:r>
    </w:p>
  </w:footnote>
  <w:footnote w:id="2">
    <w:p w14:paraId="32AF44D2" w14:textId="7EBB142B" w:rsidR="00EE1F0A" w:rsidRPr="00A14357" w:rsidRDefault="00EE1F0A" w:rsidP="00A14357">
      <w:pPr>
        <w:pStyle w:val="FootnoteText"/>
        <w:ind w:left="284" w:hanging="284"/>
        <w:rPr>
          <w:lang w:val="mt-MT"/>
        </w:rPr>
      </w:pPr>
      <w:r w:rsidRPr="00A14357">
        <w:rPr>
          <w:rStyle w:val="FootnoteReference"/>
        </w:rPr>
        <w:footnoteRef/>
      </w:r>
      <w:r w:rsidRPr="00A14357">
        <w:rPr>
          <w:lang w:val="mt-MT"/>
        </w:rPr>
        <w:t xml:space="preserve"> </w:t>
      </w:r>
      <w:r w:rsidRPr="00A14357">
        <w:rPr>
          <w:lang w:val="mt-MT"/>
        </w:rPr>
        <w:tab/>
      </w:r>
      <w:hyperlink r:id="rId1" w:history="1">
        <w:r w:rsidRPr="00A14357">
          <w:rPr>
            <w:rStyle w:val="Hyperlink"/>
            <w:lang w:val="mt-MT"/>
          </w:rPr>
          <w:t>http://ec.europa.eu/eurostat/documents/4411192/4411431/Europe_2020_Targets.pdf</w:t>
        </w:r>
      </w:hyperlink>
      <w:r w:rsidR="00A14357">
        <w:rPr>
          <w:rStyle w:val="Hyperlink"/>
          <w:u w:val="none"/>
        </w:rPr>
        <w:t>.</w:t>
      </w:r>
      <w:r w:rsidRPr="00A14357">
        <w:rPr>
          <w:rStyle w:val="Hyperlink"/>
          <w:lang w:val="mt-MT"/>
        </w:rPr>
        <w:t xml:space="preserve"> </w:t>
      </w:r>
    </w:p>
  </w:footnote>
  <w:footnote w:id="3">
    <w:p w14:paraId="27178B69" w14:textId="438057F2" w:rsidR="00EE1F0A" w:rsidRPr="00A14357" w:rsidRDefault="00EE1F0A" w:rsidP="00A14357">
      <w:pPr>
        <w:pStyle w:val="FootnoteText"/>
        <w:ind w:left="284" w:hanging="284"/>
      </w:pPr>
      <w:r w:rsidRPr="00A14357">
        <w:rPr>
          <w:rStyle w:val="FootnoteReference"/>
        </w:rPr>
        <w:footnoteRef/>
      </w:r>
      <w:r w:rsidRPr="00A14357">
        <w:t xml:space="preserve"> </w:t>
      </w:r>
      <w:r w:rsidRPr="00A14357">
        <w:tab/>
        <w:t xml:space="preserve">Further explanation and analysis of the comparative data and methodology is included in ANED’s annual statistical reports relevant to the EU2020 goals, available at </w:t>
      </w:r>
      <w:hyperlink r:id="rId2" w:history="1">
        <w:r w:rsidRPr="00A14357">
          <w:rPr>
            <w:rStyle w:val="Hyperlink"/>
          </w:rPr>
          <w:t>http://www.disability-europe.net/theme/statistical-indicators</w:t>
        </w:r>
      </w:hyperlink>
      <w:r w:rsidR="001C42C7">
        <w:rPr>
          <w:rStyle w:val="Hyperlink"/>
          <w:u w:val="none"/>
        </w:rPr>
        <w:t>.</w:t>
      </w:r>
      <w:r w:rsidRPr="00A14357">
        <w:t xml:space="preserve"> </w:t>
      </w:r>
    </w:p>
  </w:footnote>
  <w:footnote w:id="4">
    <w:p w14:paraId="525D1925" w14:textId="2B9EFAE1" w:rsidR="00EE1F0A" w:rsidRPr="00A14357" w:rsidRDefault="00EE1F0A" w:rsidP="00A14357">
      <w:pPr>
        <w:pStyle w:val="FootnoteText"/>
        <w:ind w:left="284" w:hanging="284"/>
      </w:pPr>
      <w:r w:rsidRPr="00A14357">
        <w:rPr>
          <w:rStyle w:val="FootnoteReference"/>
        </w:rPr>
        <w:footnoteRef/>
      </w:r>
      <w:r w:rsidR="001C42C7">
        <w:t xml:space="preserve"> </w:t>
      </w:r>
      <w:hyperlink r:id="rId3" w:history="1">
        <w:r w:rsidR="001C42C7" w:rsidRPr="007E5DFC">
          <w:rPr>
            <w:rStyle w:val="Hyperlink"/>
          </w:rPr>
          <w:t>https://tbinternet.ohchr.org/_layouts/treatybodyexternal/Download.aspx?symbolno=CRPD%2fC%2fMLT%2fCO%2f1&amp;Lang=en</w:t>
        </w:r>
      </w:hyperlink>
      <w:r w:rsidR="001C42C7">
        <w:t xml:space="preserve">. </w:t>
      </w:r>
    </w:p>
  </w:footnote>
  <w:footnote w:id="5">
    <w:p w14:paraId="5FFA6E8E" w14:textId="0D0B4336" w:rsidR="00EE1F0A" w:rsidRPr="001C42C7" w:rsidRDefault="00EE1F0A" w:rsidP="00A14357">
      <w:pPr>
        <w:pStyle w:val="FootnoteRM"/>
        <w:rPr>
          <w:lang w:val="mt-MT"/>
        </w:rPr>
      </w:pPr>
      <w:r w:rsidRPr="00A14357">
        <w:rPr>
          <w:rStyle w:val="FootnoteReference"/>
        </w:rPr>
        <w:footnoteRef/>
      </w:r>
      <w:r w:rsidRPr="00A14357">
        <w:t xml:space="preserve"> </w:t>
      </w:r>
      <w:r w:rsidRPr="00A14357">
        <w:tab/>
      </w:r>
      <w:hyperlink r:id="rId4" w:history="1">
        <w:r w:rsidRPr="00A14357">
          <w:rPr>
            <w:rStyle w:val="Hyperlink"/>
          </w:rPr>
          <w:t>https://activeageing.gov.mt/en/Documents/Book%20design%20english.pdf</w:t>
        </w:r>
      </w:hyperlink>
      <w:r w:rsidR="001C42C7">
        <w:rPr>
          <w:rStyle w:val="Hyperlink"/>
          <w:u w:val="none"/>
        </w:rPr>
        <w:t>.</w:t>
      </w:r>
    </w:p>
  </w:footnote>
  <w:footnote w:id="6">
    <w:p w14:paraId="25701DF2" w14:textId="041E2E4F" w:rsidR="00EE1F0A" w:rsidRPr="00A14357" w:rsidRDefault="00EE1F0A" w:rsidP="00A14357">
      <w:pPr>
        <w:pStyle w:val="FootnoteRM"/>
        <w:rPr>
          <w:lang w:val="mt-MT"/>
        </w:rPr>
      </w:pPr>
      <w:r w:rsidRPr="00A14357">
        <w:rPr>
          <w:rStyle w:val="FootnoteReference"/>
        </w:rPr>
        <w:footnoteRef/>
      </w:r>
      <w:r w:rsidRPr="00A14357">
        <w:rPr>
          <w:lang w:val="mt-MT"/>
        </w:rPr>
        <w:t xml:space="preserve"> </w:t>
      </w:r>
      <w:r w:rsidRPr="00A14357">
        <w:rPr>
          <w:lang w:val="mt-MT"/>
        </w:rPr>
        <w:tab/>
      </w:r>
      <w:hyperlink r:id="rId5" w:history="1">
        <w:r w:rsidRPr="00A14357">
          <w:rPr>
            <w:rStyle w:val="Hyperlink"/>
            <w:lang w:val="mt-MT"/>
          </w:rPr>
          <w:t>https://activeageing.gov.mt/en/Pages/Malta-National-Disability-Strategy.aspx</w:t>
        </w:r>
      </w:hyperlink>
      <w:r w:rsidR="001C42C7" w:rsidRPr="002C6495">
        <w:rPr>
          <w:rStyle w:val="Hyperlink"/>
          <w:u w:val="none"/>
          <w:lang w:val="mt-MT"/>
        </w:rPr>
        <w:t>.</w:t>
      </w:r>
      <w:r w:rsidRPr="00A14357">
        <w:rPr>
          <w:lang w:val="mt-MT"/>
        </w:rPr>
        <w:t xml:space="preserve"> </w:t>
      </w:r>
    </w:p>
  </w:footnote>
  <w:footnote w:id="7">
    <w:p w14:paraId="50693701" w14:textId="7ECCE719" w:rsidR="00EE1F0A" w:rsidRPr="00A14357" w:rsidRDefault="00EE1F0A" w:rsidP="00A14357">
      <w:pPr>
        <w:pStyle w:val="FootnoteText"/>
        <w:ind w:left="284" w:hanging="284"/>
      </w:pPr>
      <w:r w:rsidRPr="00A14357">
        <w:rPr>
          <w:rStyle w:val="FootnoteReference"/>
        </w:rPr>
        <w:footnoteRef/>
      </w:r>
      <w:r w:rsidRPr="00A14357">
        <w:t xml:space="preserve"> </w:t>
      </w:r>
      <w:r w:rsidR="001C42C7">
        <w:tab/>
      </w:r>
      <w:r w:rsidRPr="00A14357">
        <w:t xml:space="preserve">European comparative data on Europe 2020 &amp; People with disabilities (January 2018). </w:t>
      </w:r>
      <w:hyperlink r:id="rId6" w:history="1">
        <w:r w:rsidR="001C42C7" w:rsidRPr="007E5DFC">
          <w:rPr>
            <w:rStyle w:val="Hyperlink"/>
          </w:rPr>
          <w:t>https://www.disability-europe.net/theme/statistical-indicators</w:t>
        </w:r>
      </w:hyperlink>
      <w:r w:rsidR="001C42C7">
        <w:t xml:space="preserve">. </w:t>
      </w:r>
    </w:p>
  </w:footnote>
  <w:footnote w:id="8">
    <w:p w14:paraId="76A92AD8" w14:textId="15CAB1B5" w:rsidR="00EE1F0A" w:rsidRPr="00A14357" w:rsidRDefault="00EE1F0A" w:rsidP="00A14357">
      <w:pPr>
        <w:pStyle w:val="FootnoteText"/>
        <w:ind w:left="284" w:hanging="284"/>
      </w:pPr>
      <w:r w:rsidRPr="00A14357">
        <w:rPr>
          <w:rStyle w:val="FootnoteReference"/>
        </w:rPr>
        <w:footnoteRef/>
      </w:r>
      <w:r w:rsidRPr="00A14357">
        <w:t xml:space="preserve"> </w:t>
      </w:r>
      <w:r w:rsidR="001C42C7">
        <w:tab/>
      </w:r>
      <w:r w:rsidRPr="00A14357">
        <w:t xml:space="preserve">National Statistics Office (Malta). 2018. Labour Force Survey: Q4/2017. </w:t>
      </w:r>
      <w:hyperlink r:id="rId7" w:history="1">
        <w:r w:rsidRPr="00A14357">
          <w:rPr>
            <w:rStyle w:val="Hyperlink"/>
          </w:rPr>
          <w:t>https://nso.gov.mt/en/News_Releases/View_by_Unit/Unit_C2/Labour_Market_Statistics/Pages/Labour-Force-Survey.aspx</w:t>
        </w:r>
      </w:hyperlink>
      <w:r w:rsidR="001C42C7">
        <w:rPr>
          <w:rStyle w:val="Hyperlink"/>
          <w:u w:val="none"/>
        </w:rPr>
        <w:t>.</w:t>
      </w:r>
      <w:r w:rsidRPr="00A14357">
        <w:t xml:space="preserve"> </w:t>
      </w:r>
    </w:p>
  </w:footnote>
  <w:footnote w:id="9">
    <w:p w14:paraId="130CE6B2" w14:textId="1C10178A" w:rsidR="00EE1F0A" w:rsidRPr="00A14357" w:rsidRDefault="00EE1F0A" w:rsidP="00A14357">
      <w:pPr>
        <w:pStyle w:val="FootnoteRM"/>
        <w:rPr>
          <w:lang w:val="mt-MT"/>
        </w:rPr>
      </w:pPr>
      <w:r w:rsidRPr="00A14357">
        <w:rPr>
          <w:rStyle w:val="FootnoteReference"/>
        </w:rPr>
        <w:footnoteRef/>
      </w:r>
      <w:r w:rsidR="001C42C7">
        <w:rPr>
          <w:rStyle w:val="Hyperlink"/>
          <w:u w:val="none"/>
        </w:rPr>
        <w:t xml:space="preserve"> </w:t>
      </w:r>
      <w:hyperlink r:id="rId8" w:history="1">
        <w:r w:rsidR="001C42C7" w:rsidRPr="007E5DFC">
          <w:rPr>
            <w:rStyle w:val="Hyperlink"/>
            <w:lang w:val="mt-MT"/>
          </w:rPr>
          <w:t>https://nso.gov.mt/en/News_Releases/View_by_Unit/Unit_C2/Labour_Market_Statistics/Documents/2018/News2018_028.pdf</w:t>
        </w:r>
      </w:hyperlink>
      <w:r w:rsidR="001C42C7">
        <w:rPr>
          <w:rStyle w:val="Hyperlink"/>
          <w:u w:val="none"/>
        </w:rPr>
        <w:t>.</w:t>
      </w:r>
      <w:r w:rsidRPr="00A14357">
        <w:rPr>
          <w:lang w:val="mt-MT"/>
        </w:rPr>
        <w:t xml:space="preserve"> </w:t>
      </w:r>
    </w:p>
  </w:footnote>
  <w:footnote w:id="10">
    <w:p w14:paraId="70FAE7FE" w14:textId="29512A76" w:rsidR="00EE1F0A" w:rsidRPr="001C42C7" w:rsidRDefault="00EE1F0A" w:rsidP="00A14357">
      <w:pPr>
        <w:pStyle w:val="FootnoteText"/>
        <w:ind w:left="284" w:hanging="284"/>
        <w:rPr>
          <w:lang w:val="mt-MT"/>
        </w:rPr>
      </w:pPr>
      <w:r w:rsidRPr="00A14357">
        <w:rPr>
          <w:rStyle w:val="FootnoteReference"/>
        </w:rPr>
        <w:footnoteRef/>
      </w:r>
      <w:r w:rsidRPr="00A14357">
        <w:rPr>
          <w:lang w:val="mt-MT"/>
        </w:rPr>
        <w:t xml:space="preserve"> </w:t>
      </w:r>
      <w:r w:rsidR="001C42C7">
        <w:rPr>
          <w:lang w:val="mt-MT"/>
        </w:rPr>
        <w:tab/>
      </w:r>
      <w:r w:rsidRPr="00A14357">
        <w:t xml:space="preserve">Callus, A.M. and Bonello, I. 2017. </w:t>
      </w:r>
      <w:r w:rsidRPr="00A14357">
        <w:rPr>
          <w:i/>
        </w:rPr>
        <w:t>Overprotection in the lives of people with an intellectual disability in Malta: research findings</w:t>
      </w:r>
      <w:r w:rsidR="001C42C7">
        <w:t xml:space="preserve"> </w:t>
      </w:r>
      <w:hyperlink r:id="rId9" w:history="1">
        <w:r w:rsidR="001C42C7" w:rsidRPr="007E5DFC">
          <w:rPr>
            <w:rStyle w:val="Hyperlink"/>
            <w:shd w:val="clear" w:color="auto" w:fill="FFFFFF"/>
          </w:rPr>
          <w:t>https://www.um.edu.mt/__data/assets/pdf_file/.../Reportonoverprotectionresearch.pdf</w:t>
        </w:r>
      </w:hyperlink>
      <w:r w:rsidR="001C42C7">
        <w:rPr>
          <w:rStyle w:val="Hyperlink"/>
          <w:u w:val="none"/>
          <w:shd w:val="clear" w:color="auto" w:fill="FFFFFF"/>
        </w:rPr>
        <w:t>.</w:t>
      </w:r>
    </w:p>
  </w:footnote>
  <w:footnote w:id="11">
    <w:p w14:paraId="64A2F75A" w14:textId="45C41464" w:rsidR="00EE1F0A" w:rsidRPr="00A14357" w:rsidRDefault="00EE1F0A" w:rsidP="00A14357">
      <w:pPr>
        <w:pStyle w:val="FootnoteText"/>
        <w:ind w:left="284" w:hanging="284"/>
      </w:pPr>
      <w:r w:rsidRPr="00A14357">
        <w:rPr>
          <w:rStyle w:val="FootnoteReference"/>
        </w:rPr>
        <w:footnoteRef/>
      </w:r>
      <w:r w:rsidRPr="00A14357">
        <w:t xml:space="preserve"> </w:t>
      </w:r>
      <w:r w:rsidR="001C42C7">
        <w:tab/>
      </w:r>
      <w:r w:rsidRPr="00A14357">
        <w:t xml:space="preserve">KNPD. 2014. </w:t>
      </w:r>
      <w:r w:rsidRPr="00A14357">
        <w:rPr>
          <w:i/>
        </w:rPr>
        <w:t xml:space="preserve">Research </w:t>
      </w:r>
      <w:proofErr w:type="gramStart"/>
      <w:r w:rsidRPr="00A14357">
        <w:rPr>
          <w:i/>
        </w:rPr>
        <w:t>on the Situation of</w:t>
      </w:r>
      <w:proofErr w:type="gramEnd"/>
      <w:r w:rsidRPr="00A14357">
        <w:rPr>
          <w:i/>
        </w:rPr>
        <w:t xml:space="preserve"> Disabled Persons in Malta</w:t>
      </w:r>
      <w:r w:rsidRPr="00A14357">
        <w:t xml:space="preserve">. </w:t>
      </w:r>
      <w:hyperlink r:id="rId10" w:history="1">
        <w:r w:rsidR="001C42C7" w:rsidRPr="007E5DFC">
          <w:rPr>
            <w:rStyle w:val="Hyperlink"/>
          </w:rPr>
          <w:t>http://crpd.org.mt/research</w:t>
        </w:r>
      </w:hyperlink>
      <w:r w:rsidR="001C42C7">
        <w:t xml:space="preserve">. </w:t>
      </w:r>
    </w:p>
  </w:footnote>
  <w:footnote w:id="12">
    <w:p w14:paraId="35286F68" w14:textId="41EE6636" w:rsidR="00EE1F0A" w:rsidRPr="00A14357" w:rsidRDefault="00EE1F0A" w:rsidP="00A14357">
      <w:pPr>
        <w:pStyle w:val="FootnoteText"/>
        <w:ind w:left="284" w:hanging="284"/>
        <w:rPr>
          <w:i/>
        </w:rPr>
      </w:pPr>
      <w:r w:rsidRPr="00A14357">
        <w:rPr>
          <w:rStyle w:val="FootnoteReference"/>
        </w:rPr>
        <w:footnoteRef/>
      </w:r>
      <w:r w:rsidRPr="00A14357">
        <w:t xml:space="preserve"> </w:t>
      </w:r>
      <w:r w:rsidR="001C42C7">
        <w:tab/>
      </w:r>
      <w:r w:rsidRPr="00A14357">
        <w:t xml:space="preserve">Callus, A.M. and Bonello, I. 2017. </w:t>
      </w:r>
      <w:r w:rsidRPr="00A14357">
        <w:rPr>
          <w:i/>
        </w:rPr>
        <w:t>Overprotection in the lives of people with an intellectual disability in Malta: research findings</w:t>
      </w:r>
      <w:r w:rsidRPr="00A14357">
        <w:t xml:space="preserve">. </w:t>
      </w:r>
      <w:hyperlink r:id="rId11" w:history="1">
        <w:r w:rsidRPr="00A14357">
          <w:rPr>
            <w:rStyle w:val="Hyperlink"/>
            <w:shd w:val="clear" w:color="auto" w:fill="FFFFFF"/>
          </w:rPr>
          <w:t>https://www.um.edu.mt/__data/assets/pdf_file/.../Reportonoverprotectionresearch.pdf</w:t>
        </w:r>
      </w:hyperlink>
      <w:r w:rsidRPr="00A14357">
        <w:rPr>
          <w:shd w:val="clear" w:color="auto" w:fill="FFFFFF"/>
        </w:rPr>
        <w:t xml:space="preserve">; Bonello, A.M. 2015. </w:t>
      </w:r>
      <w:r w:rsidRPr="00A14357">
        <w:rPr>
          <w:i/>
          <w:shd w:val="clear" w:color="auto" w:fill="FFFFFF"/>
        </w:rPr>
        <w:t xml:space="preserve">The human right of persons with disabilities to non-discrimination in the Maltese employment sector: a legal perspective. </w:t>
      </w:r>
      <w:hyperlink r:id="rId12" w:history="1">
        <w:r w:rsidRPr="00A14357">
          <w:rPr>
            <w:rStyle w:val="Hyperlink"/>
            <w:shd w:val="clear" w:color="auto" w:fill="FFFFFF"/>
          </w:rPr>
          <w:t>https://www.um.edu.mt/library/oar/handle/123456789/17497</w:t>
        </w:r>
      </w:hyperlink>
      <w:r w:rsidRPr="00A14357">
        <w:rPr>
          <w:shd w:val="clear" w:color="auto" w:fill="FFFFFF"/>
        </w:rPr>
        <w:t xml:space="preserve">; KNPD (Commission for the Rights of Persons with Disability). 2012. </w:t>
      </w:r>
      <w:r w:rsidRPr="00A14357">
        <w:rPr>
          <w:i/>
          <w:shd w:val="clear" w:color="auto" w:fill="FFFFFF"/>
        </w:rPr>
        <w:t>The Current Situation of Disabled Persons with Challenging Behaviour in Malta: Research and Dissemination.</w:t>
      </w:r>
      <w:r w:rsidRPr="00A14357">
        <w:rPr>
          <w:shd w:val="clear" w:color="auto" w:fill="FFFFFF"/>
        </w:rPr>
        <w:t xml:space="preserve"> </w:t>
      </w:r>
      <w:hyperlink r:id="rId13" w:history="1">
        <w:r w:rsidR="001C42C7" w:rsidRPr="007E5DFC">
          <w:rPr>
            <w:rStyle w:val="Hyperlink"/>
            <w:shd w:val="clear" w:color="auto" w:fill="FFFFFF"/>
          </w:rPr>
          <w:t>www.knpd.org/pubs/20120918ESF3105execsumENG.pdf</w:t>
        </w:r>
      </w:hyperlink>
      <w:r w:rsidR="001C42C7">
        <w:rPr>
          <w:shd w:val="clear" w:color="auto" w:fill="FFFFFF"/>
        </w:rPr>
        <w:t xml:space="preserve">. </w:t>
      </w:r>
    </w:p>
  </w:footnote>
  <w:footnote w:id="13">
    <w:p w14:paraId="513A6C9A" w14:textId="1E6D9133" w:rsidR="00EE1F0A" w:rsidRPr="00A14357" w:rsidRDefault="00EE1F0A" w:rsidP="00A14357">
      <w:pPr>
        <w:pStyle w:val="FootnoteText"/>
        <w:ind w:left="284" w:hanging="284"/>
      </w:pPr>
      <w:r w:rsidRPr="00A14357">
        <w:rPr>
          <w:rStyle w:val="FootnoteReference"/>
        </w:rPr>
        <w:footnoteRef/>
      </w:r>
      <w:r w:rsidRPr="00A14357">
        <w:t xml:space="preserve"> </w:t>
      </w:r>
      <w:r w:rsidR="001C42C7">
        <w:tab/>
      </w:r>
      <w:hyperlink r:id="rId14" w:history="1">
        <w:r w:rsidR="001C42C7" w:rsidRPr="007E5DFC">
          <w:rPr>
            <w:rStyle w:val="Hyperlink"/>
          </w:rPr>
          <w:t>https://ec.europa.eu/info/2018-european-semester-national-reform-programmes-and-stability-convergence-programmes_en</w:t>
        </w:r>
      </w:hyperlink>
      <w:r w:rsidR="001C42C7">
        <w:t xml:space="preserve">. </w:t>
      </w:r>
    </w:p>
  </w:footnote>
  <w:footnote w:id="14">
    <w:p w14:paraId="077A866B" w14:textId="780B34EA" w:rsidR="00EE1F0A" w:rsidRPr="00A14357" w:rsidRDefault="00EE1F0A" w:rsidP="00A14357">
      <w:pPr>
        <w:pStyle w:val="FootnoteText"/>
        <w:ind w:left="284" w:hanging="284"/>
      </w:pPr>
      <w:r w:rsidRPr="00A14357">
        <w:rPr>
          <w:rStyle w:val="FootnoteReference"/>
        </w:rPr>
        <w:footnoteRef/>
      </w:r>
      <w:r w:rsidRPr="00A14357">
        <w:t xml:space="preserve"> </w:t>
      </w:r>
      <w:r w:rsidR="001C42C7">
        <w:tab/>
      </w:r>
      <w:r w:rsidRPr="00A14357">
        <w:t>http://www.justiceservices.gov.mt/DownloadDocument.aspx?app=lom&amp;itemid=8718&amp;l=1</w:t>
      </w:r>
    </w:p>
  </w:footnote>
  <w:footnote w:id="15">
    <w:p w14:paraId="041BEEB7" w14:textId="63E3C66B" w:rsidR="00EE1F0A" w:rsidRPr="00A14357" w:rsidRDefault="00EE1F0A" w:rsidP="00A14357">
      <w:pPr>
        <w:pStyle w:val="FootnoteRM"/>
        <w:rPr>
          <w:lang w:val="mt-MT"/>
        </w:rPr>
      </w:pPr>
      <w:r w:rsidRPr="00A14357">
        <w:rPr>
          <w:rStyle w:val="FootnoteReference"/>
        </w:rPr>
        <w:footnoteRef/>
      </w:r>
      <w:r w:rsidRPr="00A14357">
        <w:rPr>
          <w:lang w:val="mt-MT"/>
        </w:rPr>
        <w:tab/>
      </w:r>
      <w:hyperlink r:id="rId15" w:anchor=".VjnHECTIyfQ" w:history="1">
        <w:r w:rsidR="001C42C7" w:rsidRPr="007E5DFC">
          <w:rPr>
            <w:rStyle w:val="Hyperlink"/>
            <w:lang w:val="mt-MT"/>
          </w:rPr>
          <w:t>http://www.maltatoday.com.mt/news/budget_2015/46277/</w:t>
        </w:r>
        <w:r w:rsidR="001C42C7" w:rsidRPr="007E5DFC">
          <w:rPr>
            <w:rStyle w:val="Hyperlink"/>
            <w:lang w:val="mt-MT"/>
          </w:rPr>
          <w:br/>
          <w:t>employers_concerned_over_disability_quota#.VjnHECTIyfQ</w:t>
        </w:r>
      </w:hyperlink>
      <w:r w:rsidRPr="00A14357">
        <w:rPr>
          <w:lang w:val="mt-MT"/>
        </w:rPr>
        <w:t xml:space="preserve">. </w:t>
      </w:r>
    </w:p>
  </w:footnote>
  <w:footnote w:id="16">
    <w:p w14:paraId="3EA199C7" w14:textId="2B649A04" w:rsidR="00EE1F0A" w:rsidRPr="00A14357" w:rsidRDefault="00EE1F0A" w:rsidP="00A14357">
      <w:pPr>
        <w:pStyle w:val="FootnoteRM"/>
        <w:rPr>
          <w:lang w:val="mt-MT"/>
        </w:rPr>
      </w:pPr>
      <w:r w:rsidRPr="00A14357">
        <w:rPr>
          <w:rStyle w:val="FootnoteReference"/>
        </w:rPr>
        <w:footnoteRef/>
      </w:r>
      <w:r w:rsidRPr="00A14357">
        <w:rPr>
          <w:lang w:val="mt-MT"/>
        </w:rPr>
        <w:tab/>
      </w:r>
      <w:hyperlink r:id="rId16" w:history="1">
        <w:r w:rsidRPr="00A14357">
          <w:rPr>
            <w:rStyle w:val="Hyperlink"/>
            <w:lang w:val="mt-MT"/>
          </w:rPr>
          <w:t>https://jobsplus.gov.mt/employers-mt-MT-en-GB/employing-persons/fileprovider.aspx?fileId=1719</w:t>
        </w:r>
      </w:hyperlink>
      <w:r w:rsidR="001C42C7" w:rsidRPr="002C6495">
        <w:rPr>
          <w:rStyle w:val="Hyperlink"/>
          <w:u w:val="none"/>
          <w:lang w:val="mt-MT"/>
        </w:rPr>
        <w:t>.</w:t>
      </w:r>
      <w:r w:rsidRPr="00A14357">
        <w:rPr>
          <w:lang w:val="mt-MT"/>
        </w:rPr>
        <w:t xml:space="preserve"> </w:t>
      </w:r>
    </w:p>
  </w:footnote>
  <w:footnote w:id="17">
    <w:p w14:paraId="22E2B4A3" w14:textId="401B1C4D" w:rsidR="00EE1F0A" w:rsidRPr="00A14357" w:rsidRDefault="00EE1F0A" w:rsidP="00A14357">
      <w:pPr>
        <w:pStyle w:val="FootnoteText"/>
        <w:ind w:left="284" w:hanging="284"/>
        <w:rPr>
          <w:lang w:val="mt-MT"/>
        </w:rPr>
      </w:pPr>
      <w:r w:rsidRPr="00A14357">
        <w:rPr>
          <w:rStyle w:val="FootnoteReference"/>
        </w:rPr>
        <w:footnoteRef/>
      </w:r>
      <w:r w:rsidRPr="00A14357">
        <w:rPr>
          <w:lang w:val="mt-MT"/>
        </w:rPr>
        <w:t xml:space="preserve"> </w:t>
      </w:r>
      <w:r w:rsidR="001C42C7">
        <w:rPr>
          <w:lang w:val="mt-MT"/>
        </w:rPr>
        <w:tab/>
      </w:r>
      <w:r w:rsidRPr="00A14357">
        <w:t>The EU Joint Employment Report 2018 mentions reduced social security contributions aimed at supporting the employment of disabled people.</w:t>
      </w:r>
    </w:p>
  </w:footnote>
  <w:footnote w:id="18">
    <w:p w14:paraId="02837883" w14:textId="42174CDD" w:rsidR="00EE1F0A" w:rsidRPr="002C6495" w:rsidRDefault="00EE1F0A" w:rsidP="00A14357">
      <w:pPr>
        <w:pStyle w:val="FootnoteText"/>
        <w:ind w:left="284" w:hanging="284"/>
        <w:rPr>
          <w:lang w:val="mt-MT"/>
        </w:rPr>
      </w:pPr>
      <w:r w:rsidRPr="00A14357">
        <w:rPr>
          <w:rStyle w:val="FootnoteReference"/>
        </w:rPr>
        <w:footnoteRef/>
      </w:r>
      <w:r w:rsidRPr="00A14357">
        <w:rPr>
          <w:lang w:val="mt-MT"/>
        </w:rPr>
        <w:t xml:space="preserve"> </w:t>
      </w:r>
      <w:r w:rsidR="001C42C7">
        <w:rPr>
          <w:lang w:val="mt-MT"/>
        </w:rPr>
        <w:tab/>
      </w:r>
      <w:hyperlink r:id="rId17" w:history="1">
        <w:r w:rsidR="001C42C7" w:rsidRPr="007E5DFC">
          <w:rPr>
            <w:rStyle w:val="Hyperlink"/>
            <w:lang w:val="mt-MT"/>
          </w:rPr>
          <w:t>https://jobsplus.gov.mt/resources/publication-statistics-mt-mt-en-gb/publications/annual-reports</w:t>
        </w:r>
      </w:hyperlink>
      <w:r w:rsidR="001C42C7" w:rsidRPr="002C6495">
        <w:rPr>
          <w:lang w:val="mt-MT"/>
        </w:rPr>
        <w:t xml:space="preserve">. </w:t>
      </w:r>
    </w:p>
  </w:footnote>
  <w:footnote w:id="19">
    <w:p w14:paraId="2042BFFB" w14:textId="12EC9B05" w:rsidR="00EE1F0A" w:rsidRPr="002C6495" w:rsidRDefault="00EE1F0A" w:rsidP="00A14357">
      <w:pPr>
        <w:pStyle w:val="FootnoteText"/>
        <w:ind w:left="284" w:hanging="284"/>
        <w:rPr>
          <w:lang w:val="mt-MT"/>
        </w:rPr>
      </w:pPr>
      <w:r w:rsidRPr="00A14357">
        <w:rPr>
          <w:rStyle w:val="FootnoteReference"/>
        </w:rPr>
        <w:footnoteRef/>
      </w:r>
      <w:r w:rsidRPr="00A14357">
        <w:rPr>
          <w:lang w:val="mt-MT"/>
        </w:rPr>
        <w:t xml:space="preserve"> </w:t>
      </w:r>
      <w:r w:rsidR="001C42C7">
        <w:rPr>
          <w:lang w:val="mt-MT"/>
        </w:rPr>
        <w:tab/>
      </w:r>
      <w:hyperlink r:id="rId18" w:history="1">
        <w:r w:rsidR="001C42C7" w:rsidRPr="007E5DFC">
          <w:rPr>
            <w:rStyle w:val="Hyperlink"/>
            <w:lang w:val="mt-MT"/>
          </w:rPr>
          <w:t>https://jobsplus.gov.mt/resources/publication-statistics-mt-mt-en-gb/publications/annual-reports</w:t>
        </w:r>
      </w:hyperlink>
      <w:r w:rsidRPr="00A14357">
        <w:rPr>
          <w:lang w:val="mt-MT"/>
        </w:rPr>
        <w:t xml:space="preserve"> (p. 43)</w:t>
      </w:r>
      <w:r w:rsidR="001C42C7" w:rsidRPr="002C6495">
        <w:rPr>
          <w:lang w:val="mt-MT"/>
        </w:rPr>
        <w:t>.</w:t>
      </w:r>
    </w:p>
  </w:footnote>
  <w:footnote w:id="20">
    <w:p w14:paraId="29878C19" w14:textId="797877AD" w:rsidR="00EE1F0A" w:rsidRPr="002C6495" w:rsidRDefault="00EE1F0A" w:rsidP="00A14357">
      <w:pPr>
        <w:pStyle w:val="FootnoteText"/>
        <w:ind w:left="284" w:hanging="284"/>
        <w:rPr>
          <w:lang w:val="mt-MT"/>
        </w:rPr>
      </w:pPr>
      <w:r w:rsidRPr="00A14357">
        <w:rPr>
          <w:rStyle w:val="FootnoteReference"/>
        </w:rPr>
        <w:footnoteRef/>
      </w:r>
      <w:r w:rsidR="001C42C7">
        <w:rPr>
          <w:lang w:val="mt-MT"/>
        </w:rPr>
        <w:tab/>
      </w:r>
      <w:hyperlink r:id="rId19" w:history="1">
        <w:r w:rsidR="001C42C7" w:rsidRPr="007E5DFC">
          <w:rPr>
            <w:rStyle w:val="Hyperlink"/>
            <w:lang w:val="mt-MT"/>
          </w:rPr>
          <w:t>https://jobsplus.gov.mt</w:t>
        </w:r>
      </w:hyperlink>
      <w:r w:rsidR="001C42C7" w:rsidRPr="002C6495">
        <w:rPr>
          <w:lang w:val="mt-MT"/>
        </w:rPr>
        <w:t xml:space="preserve">. </w:t>
      </w:r>
    </w:p>
  </w:footnote>
  <w:footnote w:id="21">
    <w:p w14:paraId="715EAC0C" w14:textId="595DAB10" w:rsidR="00EE1F0A" w:rsidRPr="002C6495" w:rsidRDefault="00EE1F0A" w:rsidP="00A14357">
      <w:pPr>
        <w:pStyle w:val="FootnoteText"/>
        <w:ind w:left="284" w:hanging="284"/>
        <w:rPr>
          <w:lang w:val="mt-MT"/>
        </w:rPr>
      </w:pPr>
      <w:r w:rsidRPr="00A14357">
        <w:rPr>
          <w:rStyle w:val="FootnoteReference"/>
        </w:rPr>
        <w:footnoteRef/>
      </w:r>
      <w:r w:rsidRPr="00A14357">
        <w:rPr>
          <w:lang w:val="mt-MT"/>
        </w:rPr>
        <w:t xml:space="preserve"> </w:t>
      </w:r>
      <w:r w:rsidR="001C42C7">
        <w:rPr>
          <w:lang w:val="mt-MT"/>
        </w:rPr>
        <w:tab/>
      </w:r>
      <w:hyperlink r:id="rId20" w:history="1">
        <w:r w:rsidR="001C42C7" w:rsidRPr="007E5DFC">
          <w:rPr>
            <w:rStyle w:val="Hyperlink"/>
            <w:lang w:val="mt-MT"/>
          </w:rPr>
          <w:t>https://jobsplus.gov.mt/resources/publication-statistics-mt-mt-en-gb/publications/annual-reports</w:t>
        </w:r>
      </w:hyperlink>
      <w:r w:rsidR="001C42C7" w:rsidRPr="002C6495">
        <w:rPr>
          <w:lang w:val="mt-MT"/>
        </w:rPr>
        <w:t>.</w:t>
      </w:r>
    </w:p>
  </w:footnote>
  <w:footnote w:id="22">
    <w:p w14:paraId="0E46BFFD" w14:textId="0AACBB8A" w:rsidR="00EE1F0A" w:rsidRPr="002C6495" w:rsidRDefault="00EE1F0A" w:rsidP="00A14357">
      <w:pPr>
        <w:pStyle w:val="FootnoteText"/>
        <w:ind w:left="284" w:hanging="284"/>
        <w:rPr>
          <w:lang w:val="mt-MT"/>
        </w:rPr>
      </w:pPr>
      <w:r w:rsidRPr="00A14357">
        <w:rPr>
          <w:rStyle w:val="FootnoteReference"/>
        </w:rPr>
        <w:footnoteRef/>
      </w:r>
      <w:r w:rsidRPr="00A14357">
        <w:rPr>
          <w:lang w:val="mt-MT"/>
        </w:rPr>
        <w:t xml:space="preserve"> </w:t>
      </w:r>
      <w:r w:rsidR="001C42C7">
        <w:rPr>
          <w:lang w:val="mt-MT"/>
        </w:rPr>
        <w:tab/>
      </w:r>
      <w:hyperlink r:id="rId21" w:history="1">
        <w:r w:rsidR="001C42C7" w:rsidRPr="007E5DFC">
          <w:rPr>
            <w:rStyle w:val="Hyperlink"/>
            <w:lang w:val="mt-MT"/>
          </w:rPr>
          <w:t>https://jobsplus.gov.mt/resources/publication-statistics-mt-mt-en-gb/publications/annual-reports</w:t>
        </w:r>
      </w:hyperlink>
      <w:r w:rsidR="001C42C7" w:rsidRPr="002C6495">
        <w:rPr>
          <w:lang w:val="mt-MT"/>
        </w:rPr>
        <w:t xml:space="preserve">. </w:t>
      </w:r>
    </w:p>
  </w:footnote>
  <w:footnote w:id="23">
    <w:p w14:paraId="05EFB77C" w14:textId="6A720641" w:rsidR="00EE1F0A" w:rsidRPr="002C6495" w:rsidRDefault="00EE1F0A" w:rsidP="00A14357">
      <w:pPr>
        <w:pStyle w:val="FootnoteText"/>
        <w:ind w:left="284" w:hanging="284"/>
        <w:rPr>
          <w:lang w:val="mt-MT"/>
        </w:rPr>
      </w:pPr>
      <w:r w:rsidRPr="00A14357">
        <w:rPr>
          <w:rStyle w:val="FootnoteReference"/>
        </w:rPr>
        <w:footnoteRef/>
      </w:r>
      <w:r w:rsidRPr="00A14357">
        <w:rPr>
          <w:lang w:val="mt-MT"/>
        </w:rPr>
        <w:t xml:space="preserve"> </w:t>
      </w:r>
      <w:r w:rsidR="001C42C7">
        <w:rPr>
          <w:lang w:val="mt-MT"/>
        </w:rPr>
        <w:tab/>
      </w:r>
      <w:hyperlink r:id="rId22" w:history="1">
        <w:r w:rsidR="001C42C7" w:rsidRPr="007E5DFC">
          <w:rPr>
            <w:rStyle w:val="Hyperlink"/>
            <w:lang w:val="mt-MT"/>
          </w:rPr>
          <w:t>https://jobsplus.gov.mt/resources/publication-statistics-mt-mt-en-gb/publications/annual-reports</w:t>
        </w:r>
      </w:hyperlink>
      <w:r w:rsidR="001C42C7" w:rsidRPr="002C6495">
        <w:rPr>
          <w:lang w:val="mt-MT"/>
        </w:rPr>
        <w:t xml:space="preserve">. </w:t>
      </w:r>
    </w:p>
  </w:footnote>
  <w:footnote w:id="24">
    <w:p w14:paraId="0ED0E193" w14:textId="04ECF842" w:rsidR="00EE1F0A" w:rsidRPr="002C6495" w:rsidRDefault="00EE1F0A" w:rsidP="00A14357">
      <w:pPr>
        <w:pStyle w:val="FootnoteText"/>
        <w:ind w:left="284" w:hanging="284"/>
        <w:rPr>
          <w:lang w:val="mt-MT"/>
        </w:rPr>
      </w:pPr>
      <w:r w:rsidRPr="00A14357">
        <w:rPr>
          <w:rStyle w:val="FootnoteReference"/>
        </w:rPr>
        <w:footnoteRef/>
      </w:r>
      <w:r w:rsidRPr="00A14357">
        <w:rPr>
          <w:lang w:val="mt-MT"/>
        </w:rPr>
        <w:t xml:space="preserve"> </w:t>
      </w:r>
      <w:r w:rsidR="001C42C7">
        <w:rPr>
          <w:lang w:val="mt-MT"/>
        </w:rPr>
        <w:tab/>
      </w:r>
      <w:hyperlink r:id="rId23" w:history="1">
        <w:r w:rsidR="001C42C7" w:rsidRPr="007E5DFC">
          <w:rPr>
            <w:rStyle w:val="Hyperlink"/>
            <w:lang w:val="mt-MT"/>
          </w:rPr>
          <w:t>https://sapport.gov.mt/en/Pages/JESS%20Beneficiaries.aspx</w:t>
        </w:r>
      </w:hyperlink>
      <w:r w:rsidR="001C42C7" w:rsidRPr="002C6495">
        <w:rPr>
          <w:lang w:val="mt-MT"/>
        </w:rPr>
        <w:t xml:space="preserve">. </w:t>
      </w:r>
    </w:p>
  </w:footnote>
  <w:footnote w:id="25">
    <w:p w14:paraId="4CE06A9B" w14:textId="0C25B58C" w:rsidR="00EE1F0A" w:rsidRPr="00A14357" w:rsidRDefault="00EE1F0A" w:rsidP="00A14357">
      <w:pPr>
        <w:pStyle w:val="FootnoteText"/>
        <w:ind w:left="284" w:hanging="284"/>
        <w:rPr>
          <w:lang w:val="mt-MT"/>
        </w:rPr>
      </w:pPr>
      <w:r w:rsidRPr="00A14357">
        <w:rPr>
          <w:rStyle w:val="FootnoteReference"/>
        </w:rPr>
        <w:footnoteRef/>
      </w:r>
      <w:r w:rsidRPr="00A14357">
        <w:rPr>
          <w:lang w:val="mt-MT"/>
        </w:rPr>
        <w:t xml:space="preserve"> </w:t>
      </w:r>
      <w:r w:rsidR="001C42C7">
        <w:rPr>
          <w:lang w:val="mt-MT"/>
        </w:rPr>
        <w:tab/>
      </w:r>
      <w:r w:rsidRPr="00A14357">
        <w:rPr>
          <w:lang w:val="mt-MT"/>
        </w:rPr>
        <w:t xml:space="preserve">Disability status is under-reported in Malta’s EU-SILC survey comapred to other Member States.  </w:t>
      </w:r>
    </w:p>
  </w:footnote>
  <w:footnote w:id="26">
    <w:p w14:paraId="1933F01B" w14:textId="36BE3E06" w:rsidR="00EE1F0A" w:rsidRPr="002C6495" w:rsidRDefault="00EE1F0A" w:rsidP="00A14357">
      <w:pPr>
        <w:pStyle w:val="FootnoteText"/>
        <w:ind w:left="284" w:hanging="284"/>
        <w:rPr>
          <w:lang w:val="mt-MT"/>
        </w:rPr>
      </w:pPr>
      <w:r w:rsidRPr="00A14357">
        <w:rPr>
          <w:rStyle w:val="FootnoteReference"/>
        </w:rPr>
        <w:footnoteRef/>
      </w:r>
      <w:r w:rsidRPr="00A14357">
        <w:rPr>
          <w:lang w:val="mt-MT"/>
        </w:rPr>
        <w:t xml:space="preserve"> </w:t>
      </w:r>
      <w:r w:rsidR="001C42C7">
        <w:rPr>
          <w:lang w:val="mt-MT"/>
        </w:rPr>
        <w:tab/>
      </w:r>
      <w:hyperlink r:id="rId24" w:history="1">
        <w:r w:rsidR="001C42C7" w:rsidRPr="007E5DFC">
          <w:rPr>
            <w:rStyle w:val="Hyperlink"/>
            <w:lang w:val="mt-MT"/>
          </w:rPr>
          <w:t>https://ec.europa.eu/info/publications/2018-european-semester-country-reports_en</w:t>
        </w:r>
      </w:hyperlink>
      <w:r w:rsidR="001C42C7" w:rsidRPr="002C6495">
        <w:rPr>
          <w:lang w:val="mt-MT"/>
        </w:rPr>
        <w:t xml:space="preserve">. </w:t>
      </w:r>
    </w:p>
  </w:footnote>
  <w:footnote w:id="27">
    <w:p w14:paraId="28773023" w14:textId="289260CB" w:rsidR="00EE1F0A" w:rsidRPr="002C6495" w:rsidRDefault="00EE1F0A" w:rsidP="00A14357">
      <w:pPr>
        <w:pStyle w:val="FootnoteText"/>
        <w:ind w:left="284" w:hanging="284"/>
        <w:rPr>
          <w:lang w:val="mt-MT"/>
        </w:rPr>
      </w:pPr>
      <w:r w:rsidRPr="00A14357">
        <w:rPr>
          <w:rStyle w:val="FootnoteReference"/>
        </w:rPr>
        <w:footnoteRef/>
      </w:r>
      <w:r w:rsidRPr="00A14357">
        <w:rPr>
          <w:lang w:val="mt-MT"/>
        </w:rPr>
        <w:t xml:space="preserve"> </w:t>
      </w:r>
      <w:r w:rsidR="001C42C7">
        <w:rPr>
          <w:lang w:val="mt-MT"/>
        </w:rPr>
        <w:tab/>
      </w:r>
      <w:hyperlink r:id="rId25" w:history="1">
        <w:r w:rsidR="001C42C7" w:rsidRPr="007E5DFC">
          <w:rPr>
            <w:rStyle w:val="Hyperlink"/>
            <w:lang w:val="mt-MT"/>
          </w:rPr>
          <w:t>https://ec.europa.eu/info/publications/2018-european-semester-country-specific-recommendations-commission-recommendations_en</w:t>
        </w:r>
      </w:hyperlink>
      <w:r w:rsidR="001C42C7" w:rsidRPr="002C6495">
        <w:rPr>
          <w:lang w:val="mt-MT"/>
        </w:rPr>
        <w:t xml:space="preserve">. </w:t>
      </w:r>
    </w:p>
  </w:footnote>
  <w:footnote w:id="28">
    <w:p w14:paraId="00B3D0A3" w14:textId="3DE3D726" w:rsidR="00EE1F0A" w:rsidRPr="00A14357" w:rsidRDefault="00EE1F0A" w:rsidP="00A14357">
      <w:pPr>
        <w:pStyle w:val="FootnoteRM"/>
      </w:pPr>
      <w:r w:rsidRPr="00A14357">
        <w:rPr>
          <w:rStyle w:val="FootnoteReference"/>
        </w:rPr>
        <w:footnoteRef/>
      </w:r>
      <w:r w:rsidRPr="00A14357">
        <w:t xml:space="preserve"> </w:t>
      </w:r>
      <w:r w:rsidR="001C42C7">
        <w:tab/>
      </w:r>
      <w:r w:rsidRPr="00A14357">
        <w:t xml:space="preserve">The Overview of the research is available on: </w:t>
      </w:r>
      <w:hyperlink r:id="rId26" w:history="1">
        <w:r w:rsidRPr="00A14357">
          <w:rPr>
            <w:rStyle w:val="Hyperlink"/>
          </w:rPr>
          <w:t>https://www.european-agency.org/country-information/malta/national-overview/complete-national-overview</w:t>
        </w:r>
      </w:hyperlink>
      <w:r w:rsidRPr="00A14357">
        <w:rPr>
          <w:rStyle w:val="Hyperlink"/>
          <w:u w:val="none"/>
        </w:rPr>
        <w:t>.</w:t>
      </w:r>
      <w:r w:rsidRPr="00A14357">
        <w:t xml:space="preserve"> </w:t>
      </w:r>
    </w:p>
  </w:footnote>
  <w:footnote w:id="29">
    <w:p w14:paraId="069670F8" w14:textId="601A1B51" w:rsidR="00EE1F0A" w:rsidRPr="00A14357" w:rsidRDefault="00EE1F0A" w:rsidP="00A14357">
      <w:pPr>
        <w:pStyle w:val="FootnoteText"/>
        <w:ind w:left="284" w:hanging="284"/>
      </w:pPr>
      <w:r w:rsidRPr="00A14357">
        <w:rPr>
          <w:rStyle w:val="FootnoteReference"/>
        </w:rPr>
        <w:footnoteRef/>
      </w:r>
      <w:r w:rsidRPr="00A14357">
        <w:t xml:space="preserve"> </w:t>
      </w:r>
      <w:r w:rsidR="001C42C7">
        <w:tab/>
      </w:r>
      <w:hyperlink r:id="rId27" w:history="1">
        <w:r w:rsidR="001C42C7" w:rsidRPr="007E5DFC">
          <w:rPr>
            <w:rStyle w:val="Hyperlink"/>
          </w:rPr>
          <w:t>https://education.gov.mt/en/education/student-services/Pages/Special_Education/Special-Education.aspx</w:t>
        </w:r>
      </w:hyperlink>
      <w:r w:rsidR="001C42C7">
        <w:t xml:space="preserve">. </w:t>
      </w:r>
    </w:p>
  </w:footnote>
  <w:footnote w:id="30">
    <w:p w14:paraId="3E0D7173" w14:textId="6D4B0579" w:rsidR="00EE1F0A" w:rsidRPr="00A14357" w:rsidRDefault="00EE1F0A" w:rsidP="00A14357">
      <w:pPr>
        <w:pStyle w:val="FootnoteText"/>
        <w:ind w:left="284" w:hanging="284"/>
      </w:pPr>
      <w:r w:rsidRPr="00A14357">
        <w:rPr>
          <w:rStyle w:val="FootnoteReference"/>
        </w:rPr>
        <w:footnoteRef/>
      </w:r>
      <w:r w:rsidRPr="00A14357">
        <w:t xml:space="preserve"> </w:t>
      </w:r>
      <w:r w:rsidR="001C42C7">
        <w:tab/>
      </w:r>
      <w:hyperlink r:id="rId28" w:history="1">
        <w:r w:rsidR="001C42C7" w:rsidRPr="007E5DFC">
          <w:rPr>
            <w:rStyle w:val="Hyperlink"/>
          </w:rPr>
          <w:t>https://www.um.edu.mt/access</w:t>
        </w:r>
      </w:hyperlink>
      <w:r w:rsidR="001C42C7">
        <w:t xml:space="preserve">. </w:t>
      </w:r>
    </w:p>
  </w:footnote>
  <w:footnote w:id="31">
    <w:p w14:paraId="4DADA523" w14:textId="5243CBF0" w:rsidR="00EE1F0A" w:rsidRPr="001C42C7" w:rsidRDefault="00EE1F0A" w:rsidP="00A14357">
      <w:pPr>
        <w:pStyle w:val="FootnoteText"/>
        <w:ind w:left="284" w:hanging="284"/>
      </w:pPr>
      <w:r w:rsidRPr="00A14357">
        <w:rPr>
          <w:rStyle w:val="FootnoteReference"/>
        </w:rPr>
        <w:footnoteRef/>
      </w:r>
      <w:r w:rsidRPr="00A14357">
        <w:rPr>
          <w:lang w:val="mt-MT"/>
        </w:rPr>
        <w:t xml:space="preserve"> </w:t>
      </w:r>
      <w:r w:rsidR="001C42C7">
        <w:rPr>
          <w:lang w:val="mt-MT"/>
        </w:rPr>
        <w:tab/>
      </w:r>
      <w:r w:rsidRPr="00A14357">
        <w:t>A Strategic Plan for the Prevention of Early School Leaving in Malta is available from</w:t>
      </w:r>
      <w:r w:rsidRPr="00A14357">
        <w:rPr>
          <w:lang w:val="mt-MT"/>
        </w:rPr>
        <w:t xml:space="preserve"> </w:t>
      </w:r>
      <w:hyperlink r:id="rId29" w:history="1">
        <w:r w:rsidR="001C42C7" w:rsidRPr="007E5DFC">
          <w:rPr>
            <w:rStyle w:val="Hyperlink"/>
            <w:lang w:val="mt-MT"/>
          </w:rPr>
          <w:t>https://lifelonglearning.gov.mt/articles/Strategies.aspx</w:t>
        </w:r>
      </w:hyperlink>
      <w:r w:rsidR="001C42C7">
        <w:t xml:space="preserve">. </w:t>
      </w:r>
    </w:p>
  </w:footnote>
  <w:footnote w:id="32">
    <w:p w14:paraId="736D3F54" w14:textId="58102E7D" w:rsidR="00EE1F0A" w:rsidRPr="001C42C7" w:rsidRDefault="00EE1F0A" w:rsidP="00A14357">
      <w:pPr>
        <w:pStyle w:val="FootnoteText"/>
        <w:ind w:left="284" w:hanging="284"/>
      </w:pPr>
      <w:r w:rsidRPr="00A14357">
        <w:rPr>
          <w:rStyle w:val="FootnoteReference"/>
        </w:rPr>
        <w:footnoteRef/>
      </w:r>
      <w:r w:rsidR="001C42C7">
        <w:t xml:space="preserve"> </w:t>
      </w:r>
      <w:hyperlink r:id="rId30" w:history="1">
        <w:r w:rsidR="001C42C7" w:rsidRPr="007E5DFC">
          <w:rPr>
            <w:rStyle w:val="Hyperlink"/>
            <w:lang w:val="mt-MT"/>
          </w:rPr>
          <w:t>https://education.gov.mt/en/resources/News/Documents/Youth%20Guarantee%20Implementation%20Plan%20-%20Malta.pdf</w:t>
        </w:r>
      </w:hyperlink>
      <w:r w:rsidR="001C42C7">
        <w:t xml:space="preserve">. </w:t>
      </w:r>
    </w:p>
  </w:footnote>
  <w:footnote w:id="33">
    <w:p w14:paraId="210F6ABD" w14:textId="0FA31B38" w:rsidR="00EE1F0A" w:rsidRPr="001C42C7" w:rsidRDefault="00EE1F0A" w:rsidP="00A14357">
      <w:pPr>
        <w:pStyle w:val="FootnoteText"/>
        <w:ind w:left="284" w:hanging="284"/>
      </w:pPr>
      <w:r w:rsidRPr="00A14357">
        <w:rPr>
          <w:rStyle w:val="FootnoteReference"/>
        </w:rPr>
        <w:footnoteRef/>
      </w:r>
      <w:r w:rsidRPr="00A14357">
        <w:rPr>
          <w:lang w:val="mt-MT"/>
        </w:rPr>
        <w:t xml:space="preserve"> </w:t>
      </w:r>
      <w:r w:rsidR="001C42C7">
        <w:rPr>
          <w:lang w:val="mt-MT"/>
        </w:rPr>
        <w:tab/>
      </w:r>
      <w:hyperlink r:id="rId31" w:history="1">
        <w:r w:rsidR="001C42C7" w:rsidRPr="007E5DFC">
          <w:rPr>
            <w:rStyle w:val="Hyperlink"/>
            <w:lang w:val="mt-MT"/>
          </w:rPr>
          <w:t>https://eacea.ec.europa.eu/national-policies/en/content/youthwiki/63-preventing-early-leaving-education-and-training-elet-malta</w:t>
        </w:r>
      </w:hyperlink>
      <w:r w:rsidR="001C42C7">
        <w:t xml:space="preserve">. </w:t>
      </w:r>
    </w:p>
  </w:footnote>
  <w:footnote w:id="34">
    <w:p w14:paraId="61CDD4E1" w14:textId="391B10DC" w:rsidR="00EE1F0A" w:rsidRPr="001C42C7" w:rsidRDefault="00EE1F0A" w:rsidP="00A14357">
      <w:pPr>
        <w:pStyle w:val="FootnoteText"/>
        <w:ind w:left="284" w:hanging="284"/>
      </w:pPr>
      <w:r w:rsidRPr="00A14357">
        <w:rPr>
          <w:rStyle w:val="FootnoteReference"/>
        </w:rPr>
        <w:footnoteRef/>
      </w:r>
      <w:r w:rsidRPr="00A14357">
        <w:rPr>
          <w:lang w:val="mt-MT"/>
        </w:rPr>
        <w:t xml:space="preserve"> </w:t>
      </w:r>
      <w:r w:rsidR="001C42C7">
        <w:rPr>
          <w:lang w:val="mt-MT"/>
        </w:rPr>
        <w:tab/>
      </w:r>
      <w:hyperlink r:id="rId32" w:history="1">
        <w:r w:rsidR="001C42C7" w:rsidRPr="007E5DFC">
          <w:rPr>
            <w:rStyle w:val="Hyperlink"/>
            <w:lang w:val="mt-MT"/>
          </w:rPr>
          <w:t>http://www.agenzijazghazagh.gov.mt</w:t>
        </w:r>
      </w:hyperlink>
      <w:r w:rsidR="001C42C7">
        <w:t xml:space="preserve">. </w:t>
      </w:r>
    </w:p>
  </w:footnote>
  <w:footnote w:id="35">
    <w:p w14:paraId="27CFE984" w14:textId="4990C5BB" w:rsidR="00EE1F0A" w:rsidRPr="001C42C7" w:rsidRDefault="00EE1F0A" w:rsidP="00A14357">
      <w:pPr>
        <w:pStyle w:val="FootnoteText"/>
        <w:ind w:left="284" w:hanging="284"/>
      </w:pPr>
      <w:r w:rsidRPr="00A14357">
        <w:rPr>
          <w:rStyle w:val="FootnoteReference"/>
        </w:rPr>
        <w:footnoteRef/>
      </w:r>
      <w:r w:rsidR="001C42C7">
        <w:t xml:space="preserve"> </w:t>
      </w:r>
      <w:hyperlink r:id="rId33" w:history="1">
        <w:r w:rsidR="001C42C7" w:rsidRPr="007E5DFC">
          <w:rPr>
            <w:rStyle w:val="Hyperlink"/>
            <w:lang w:val="mt-MT"/>
          </w:rPr>
          <w:t>https://education.gov.mt/en/resources/News/Documents/Youth%20Guarantee%20Implementation%20Plan%20-%20Malta.pdf</w:t>
        </w:r>
      </w:hyperlink>
      <w:r w:rsidR="001C42C7">
        <w:t xml:space="preserve">. </w:t>
      </w:r>
    </w:p>
  </w:footnote>
  <w:footnote w:id="36">
    <w:p w14:paraId="1CE9F273" w14:textId="5B1A7AAD" w:rsidR="00EE1F0A" w:rsidRPr="001C42C7" w:rsidRDefault="00EE1F0A" w:rsidP="00A14357">
      <w:pPr>
        <w:pStyle w:val="FootnoteText"/>
        <w:ind w:left="284" w:hanging="284"/>
      </w:pPr>
      <w:r w:rsidRPr="00A14357">
        <w:rPr>
          <w:rStyle w:val="FootnoteReference"/>
        </w:rPr>
        <w:footnoteRef/>
      </w:r>
      <w:r w:rsidRPr="00A14357">
        <w:rPr>
          <w:lang w:val="mt-MT"/>
        </w:rPr>
        <w:t xml:space="preserve"> </w:t>
      </w:r>
      <w:r w:rsidR="001C42C7">
        <w:rPr>
          <w:lang w:val="mt-MT"/>
        </w:rPr>
        <w:tab/>
      </w:r>
      <w:hyperlink r:id="rId34" w:history="1">
        <w:r w:rsidR="001C42C7" w:rsidRPr="007E5DFC">
          <w:rPr>
            <w:rStyle w:val="Hyperlink"/>
            <w:lang w:val="mt-MT"/>
          </w:rPr>
          <w:t>https://fsws.gov.mt/en/Pages/default.aspx</w:t>
        </w:r>
      </w:hyperlink>
      <w:r w:rsidR="001C42C7">
        <w:t xml:space="preserve">. </w:t>
      </w:r>
    </w:p>
  </w:footnote>
  <w:footnote w:id="37">
    <w:p w14:paraId="5365B35A" w14:textId="50054CE1" w:rsidR="00EE1F0A" w:rsidRPr="001C42C7" w:rsidRDefault="00EE1F0A" w:rsidP="00A14357">
      <w:pPr>
        <w:pStyle w:val="FootnoteText"/>
        <w:ind w:left="284" w:hanging="284"/>
      </w:pPr>
      <w:r w:rsidRPr="00A14357">
        <w:rPr>
          <w:rStyle w:val="FootnoteReference"/>
        </w:rPr>
        <w:footnoteRef/>
      </w:r>
      <w:r w:rsidRPr="00A14357">
        <w:rPr>
          <w:lang w:val="mt-MT"/>
        </w:rPr>
        <w:t xml:space="preserve"> </w:t>
      </w:r>
      <w:r w:rsidR="001C42C7">
        <w:rPr>
          <w:lang w:val="mt-MT"/>
        </w:rPr>
        <w:tab/>
      </w:r>
      <w:hyperlink r:id="rId35" w:history="1">
        <w:r w:rsidR="001C42C7" w:rsidRPr="007E5DFC">
          <w:rPr>
            <w:rStyle w:val="Hyperlink"/>
            <w:lang w:val="mt-MT"/>
          </w:rPr>
          <w:t>https://eacea.ec.europa.eu/national-policies/en/content/youthwiki/63-preventing-early-leaving-education-and-training-elet-malta</w:t>
        </w:r>
      </w:hyperlink>
      <w:r w:rsidR="001C42C7">
        <w:t xml:space="preserve">. </w:t>
      </w:r>
    </w:p>
  </w:footnote>
  <w:footnote w:id="38">
    <w:p w14:paraId="75963B75" w14:textId="08D65C2B" w:rsidR="00EE1F0A" w:rsidRPr="001C42C7" w:rsidRDefault="00EE1F0A" w:rsidP="00A14357">
      <w:pPr>
        <w:pStyle w:val="FootnoteText"/>
        <w:ind w:left="284" w:hanging="284"/>
      </w:pPr>
      <w:r w:rsidRPr="00A14357">
        <w:rPr>
          <w:rStyle w:val="FootnoteReference"/>
        </w:rPr>
        <w:footnoteRef/>
      </w:r>
      <w:r w:rsidRPr="00A14357">
        <w:rPr>
          <w:lang w:val="mt-MT"/>
        </w:rPr>
        <w:t xml:space="preserve"> </w:t>
      </w:r>
      <w:r w:rsidR="001C42C7">
        <w:rPr>
          <w:lang w:val="mt-MT"/>
        </w:rPr>
        <w:tab/>
      </w:r>
      <w:hyperlink r:id="rId36" w:history="1">
        <w:r w:rsidR="001C42C7" w:rsidRPr="007E5DFC">
          <w:rPr>
            <w:rStyle w:val="Hyperlink"/>
            <w:lang w:val="mt-MT"/>
          </w:rPr>
          <w:t>http://www.mcast.edu.mt/154</w:t>
        </w:r>
      </w:hyperlink>
      <w:r w:rsidR="001C42C7">
        <w:t xml:space="preserve">. </w:t>
      </w:r>
    </w:p>
  </w:footnote>
  <w:footnote w:id="39">
    <w:p w14:paraId="39A5A34B" w14:textId="229A85B6" w:rsidR="00EE1F0A" w:rsidRPr="00A14357" w:rsidRDefault="00EE1F0A" w:rsidP="00A14357">
      <w:pPr>
        <w:pStyle w:val="FootnoteText"/>
        <w:ind w:left="284" w:hanging="284"/>
        <w:rPr>
          <w:lang w:val="mt-MT"/>
        </w:rPr>
      </w:pPr>
      <w:r w:rsidRPr="00A14357">
        <w:rPr>
          <w:rStyle w:val="FootnoteReference"/>
        </w:rPr>
        <w:footnoteRef/>
      </w:r>
      <w:r w:rsidRPr="00A14357">
        <w:rPr>
          <w:lang w:val="mt-MT"/>
        </w:rPr>
        <w:t xml:space="preserve"> </w:t>
      </w:r>
      <w:r w:rsidR="001C42C7">
        <w:rPr>
          <w:lang w:val="mt-MT"/>
        </w:rPr>
        <w:tab/>
      </w:r>
      <w:r w:rsidRPr="00A14357">
        <w:rPr>
          <w:lang w:val="mt-MT"/>
        </w:rPr>
        <w:t xml:space="preserve">Ministry of Education and Employment, 2015. </w:t>
      </w:r>
      <w:r w:rsidRPr="00A14357">
        <w:rPr>
          <w:i/>
          <w:iCs/>
          <w:lang w:val="mt-MT"/>
        </w:rPr>
        <w:t>Youth Guarantee: Census on youths NEET. Report on Findings</w:t>
      </w:r>
      <w:r w:rsidRPr="00A14357">
        <w:rPr>
          <w:lang w:val="mt-MT"/>
        </w:rPr>
        <w:t xml:space="preserve">. </w:t>
      </w:r>
      <w:hyperlink r:id="rId37" w:history="1">
        <w:r w:rsidRPr="00A14357">
          <w:rPr>
            <w:rStyle w:val="Hyperlink"/>
            <w:lang w:val="mt-MT"/>
          </w:rPr>
          <w:t>https://education.gov.mt/en/youthguarantee/Documents/Neets%20FINAL%20REPORT_ETC.pdf</w:t>
        </w:r>
      </w:hyperlink>
      <w:r w:rsidR="001C42C7">
        <w:rPr>
          <w:rStyle w:val="Hyperlink"/>
          <w:u w:val="none"/>
        </w:rPr>
        <w:t>.</w:t>
      </w:r>
      <w:r w:rsidRPr="00A14357">
        <w:rPr>
          <w:lang w:val="mt-MT"/>
        </w:rPr>
        <w:t xml:space="preserve">  </w:t>
      </w:r>
    </w:p>
  </w:footnote>
  <w:footnote w:id="40">
    <w:p w14:paraId="0C4F4958" w14:textId="77777777" w:rsidR="00EE1F0A" w:rsidRPr="00A14357" w:rsidRDefault="00EE1F0A" w:rsidP="00A14357">
      <w:pPr>
        <w:pStyle w:val="FootnoteRM"/>
        <w:rPr>
          <w:lang w:val="mt-MT"/>
        </w:rPr>
      </w:pPr>
      <w:r w:rsidRPr="00A14357">
        <w:rPr>
          <w:rStyle w:val="FootnoteReference"/>
        </w:rPr>
        <w:footnoteRef/>
      </w:r>
      <w:r w:rsidRPr="00A14357">
        <w:rPr>
          <w:lang w:val="mt-MT"/>
        </w:rPr>
        <w:t xml:space="preserve"> </w:t>
      </w:r>
      <w:r w:rsidRPr="00A14357">
        <w:rPr>
          <w:lang w:val="mt-MT"/>
        </w:rPr>
        <w:tab/>
      </w:r>
      <w:hyperlink r:id="rId38" w:history="1">
        <w:r w:rsidRPr="00A14357">
          <w:rPr>
            <w:rStyle w:val="Hyperlink"/>
            <w:lang w:val="mt-MT"/>
          </w:rPr>
          <w:t>https://www.um.edu.mt/about/uom/facts</w:t>
        </w:r>
      </w:hyperlink>
      <w:r w:rsidRPr="00A14357">
        <w:rPr>
          <w:rStyle w:val="Hyperlink"/>
          <w:color w:val="auto"/>
          <w:u w:val="none"/>
          <w:lang w:val="mt-MT"/>
        </w:rPr>
        <w:t>.</w:t>
      </w:r>
    </w:p>
  </w:footnote>
  <w:footnote w:id="41">
    <w:p w14:paraId="64F79F31" w14:textId="6AFEC56D" w:rsidR="00EE1F0A" w:rsidRPr="00A14357" w:rsidRDefault="00EE1F0A" w:rsidP="00A14357">
      <w:pPr>
        <w:pStyle w:val="FootnoteText"/>
        <w:ind w:left="284" w:hanging="284"/>
        <w:rPr>
          <w:lang w:val="mt-MT"/>
        </w:rPr>
      </w:pPr>
      <w:r w:rsidRPr="00A14357">
        <w:rPr>
          <w:rStyle w:val="FootnoteReference"/>
        </w:rPr>
        <w:footnoteRef/>
      </w:r>
      <w:r w:rsidRPr="00A14357">
        <w:rPr>
          <w:lang w:val="mt-MT"/>
        </w:rPr>
        <w:t xml:space="preserve"> </w:t>
      </w:r>
      <w:r w:rsidR="001C42C7">
        <w:rPr>
          <w:lang w:val="mt-MT"/>
        </w:rPr>
        <w:tab/>
      </w:r>
      <w:hyperlink r:id="rId39" w:history="1">
        <w:r w:rsidR="001C42C7" w:rsidRPr="007E5DFC">
          <w:rPr>
            <w:rStyle w:val="Hyperlink"/>
            <w:lang w:val="mt-MT"/>
          </w:rPr>
          <w:t>https://www.timesofmalta.com/articles/view/20141114/local/updated-alternative-learning-programme-timebomb-ready-to-explode-mut.544016</w:t>
        </w:r>
      </w:hyperlink>
      <w:r w:rsidR="001C42C7" w:rsidRPr="002C6495">
        <w:rPr>
          <w:rStyle w:val="Hyperlink"/>
          <w:u w:val="none"/>
          <w:lang w:val="mt-MT"/>
        </w:rPr>
        <w:t>.</w:t>
      </w:r>
      <w:r w:rsidRPr="00A14357">
        <w:rPr>
          <w:lang w:val="mt-MT"/>
        </w:rPr>
        <w:t xml:space="preserve"> </w:t>
      </w:r>
    </w:p>
  </w:footnote>
  <w:footnote w:id="42">
    <w:p w14:paraId="58BD6166" w14:textId="77777777" w:rsidR="00EE1F0A" w:rsidRPr="00A14357" w:rsidRDefault="00EE1F0A" w:rsidP="00A14357">
      <w:pPr>
        <w:pStyle w:val="FootnoteRM"/>
        <w:rPr>
          <w:lang w:val="mt-MT"/>
        </w:rPr>
      </w:pPr>
      <w:r w:rsidRPr="00A14357">
        <w:rPr>
          <w:rStyle w:val="FootnoteReference"/>
        </w:rPr>
        <w:footnoteRef/>
      </w:r>
      <w:r w:rsidRPr="00A14357">
        <w:rPr>
          <w:lang w:val="mt-MT"/>
        </w:rPr>
        <w:t xml:space="preserve"> </w:t>
      </w:r>
      <w:r w:rsidRPr="00A14357">
        <w:rPr>
          <w:lang w:val="mt-MT"/>
        </w:rPr>
        <w:tab/>
      </w:r>
      <w:hyperlink r:id="rId40" w:anchor="key" w:history="1">
        <w:r w:rsidRPr="00A14357">
          <w:rPr>
            <w:rStyle w:val="Hyperlink"/>
            <w:lang w:val="mt-MT"/>
          </w:rPr>
          <w:t>http://www.inclusive-education-in-action.org/iea/index.php?menuid=25&amp;reporeid=283#key</w:t>
        </w:r>
      </w:hyperlink>
      <w:r w:rsidRPr="00A14357">
        <w:rPr>
          <w:rStyle w:val="Hyperlink"/>
          <w:u w:val="none"/>
          <w:lang w:val="mt-MT"/>
        </w:rPr>
        <w:t>.</w:t>
      </w:r>
      <w:r w:rsidRPr="00A14357">
        <w:rPr>
          <w:lang w:val="mt-MT"/>
        </w:rPr>
        <w:t xml:space="preserve"> </w:t>
      </w:r>
    </w:p>
  </w:footnote>
  <w:footnote w:id="43">
    <w:p w14:paraId="744E7B3D" w14:textId="77777777" w:rsidR="00EE1F0A" w:rsidRPr="00A14357" w:rsidRDefault="00EE1F0A" w:rsidP="00A14357">
      <w:pPr>
        <w:pStyle w:val="FootnoteRM"/>
        <w:rPr>
          <w:lang w:val="mt-MT"/>
        </w:rPr>
      </w:pPr>
      <w:r w:rsidRPr="00A14357">
        <w:rPr>
          <w:rStyle w:val="FootnoteReference"/>
        </w:rPr>
        <w:footnoteRef/>
      </w:r>
      <w:r w:rsidRPr="00A14357">
        <w:rPr>
          <w:lang w:val="mt-MT"/>
        </w:rPr>
        <w:t xml:space="preserve"> </w:t>
      </w:r>
      <w:r w:rsidRPr="00A14357">
        <w:rPr>
          <w:lang w:val="mt-MT"/>
        </w:rPr>
        <w:tab/>
      </w:r>
      <w:hyperlink r:id="rId41" w:history="1">
        <w:r w:rsidRPr="00A14357">
          <w:rPr>
            <w:rStyle w:val="Hyperlink"/>
            <w:lang w:val="mt-MT"/>
          </w:rPr>
          <w:t>http://www.justiceservices.gov.mt/DownloadDocument.aspx?app=lom&amp;itemid=12557&amp;l=1</w:t>
        </w:r>
      </w:hyperlink>
      <w:r w:rsidRPr="00A14357">
        <w:rPr>
          <w:lang w:val="mt-MT"/>
        </w:rPr>
        <w:t xml:space="preserve">. </w:t>
      </w:r>
    </w:p>
  </w:footnote>
  <w:footnote w:id="44">
    <w:p w14:paraId="01DAD6AA" w14:textId="77777777" w:rsidR="00EE1F0A" w:rsidRPr="00A14357" w:rsidRDefault="00EE1F0A" w:rsidP="00A14357">
      <w:pPr>
        <w:pStyle w:val="FootnoteRM"/>
        <w:rPr>
          <w:lang w:val="mt-MT"/>
        </w:rPr>
      </w:pPr>
      <w:r w:rsidRPr="00A14357">
        <w:rPr>
          <w:rStyle w:val="FootnoteReference"/>
        </w:rPr>
        <w:footnoteRef/>
      </w:r>
      <w:r w:rsidRPr="00A14357">
        <w:rPr>
          <w:lang w:val="mt-MT"/>
        </w:rPr>
        <w:t xml:space="preserve"> </w:t>
      </w:r>
      <w:r w:rsidRPr="00A14357">
        <w:rPr>
          <w:lang w:val="mt-MT"/>
        </w:rPr>
        <w:tab/>
      </w:r>
      <w:hyperlink r:id="rId42" w:history="1">
        <w:r w:rsidRPr="00A14357">
          <w:rPr>
            <w:rStyle w:val="Hyperlink"/>
            <w:lang w:val="mt-MT"/>
          </w:rPr>
          <w:t>https://education.gov.mt/en/Pages/National-Skills-Council.aspx</w:t>
        </w:r>
      </w:hyperlink>
      <w:r w:rsidRPr="00A14357">
        <w:rPr>
          <w:lang w:val="mt-MT"/>
        </w:rPr>
        <w:t>.</w:t>
      </w:r>
    </w:p>
  </w:footnote>
  <w:footnote w:id="45">
    <w:p w14:paraId="37D628D5" w14:textId="4AE8DA36" w:rsidR="00EE1F0A" w:rsidRPr="00A14357" w:rsidRDefault="00EE1F0A" w:rsidP="00A14357">
      <w:pPr>
        <w:pStyle w:val="FootnoteText"/>
        <w:ind w:left="284" w:hanging="284"/>
        <w:rPr>
          <w:lang w:val="mt-MT"/>
        </w:rPr>
      </w:pPr>
      <w:r w:rsidRPr="00A14357">
        <w:rPr>
          <w:rStyle w:val="FootnoteReference"/>
        </w:rPr>
        <w:footnoteRef/>
      </w:r>
      <w:r w:rsidRPr="00A14357">
        <w:rPr>
          <w:lang w:val="mt-MT"/>
        </w:rPr>
        <w:t xml:space="preserve"> </w:t>
      </w:r>
      <w:r w:rsidR="001C42C7">
        <w:rPr>
          <w:lang w:val="mt-MT"/>
        </w:rPr>
        <w:tab/>
      </w:r>
      <w:hyperlink r:id="rId43" w:history="1">
        <w:r w:rsidR="001C42C7" w:rsidRPr="007E5DFC">
          <w:rPr>
            <w:rStyle w:val="Hyperlink"/>
            <w:lang w:val="mt-MT"/>
          </w:rPr>
          <w:t>https://parlament.mt/media/37392/act-vii-various-laws-personswith-disability-membership-in-various-entities-act-2015.pdf</w:t>
        </w:r>
      </w:hyperlink>
      <w:r w:rsidR="001C42C7" w:rsidRPr="002C6495">
        <w:rPr>
          <w:rStyle w:val="Hyperlink"/>
          <w:u w:val="none"/>
          <w:lang w:val="mt-MT"/>
        </w:rPr>
        <w:t>.</w:t>
      </w:r>
      <w:r w:rsidRPr="00A14357">
        <w:rPr>
          <w:lang w:val="mt-MT"/>
        </w:rPr>
        <w:t xml:space="preserve"> </w:t>
      </w:r>
    </w:p>
  </w:footnote>
  <w:footnote w:id="46">
    <w:p w14:paraId="4C9FC80E" w14:textId="62082DF2" w:rsidR="00EE1F0A" w:rsidRPr="00A14357" w:rsidRDefault="00EE1F0A" w:rsidP="00A14357">
      <w:pPr>
        <w:autoSpaceDE w:val="0"/>
        <w:autoSpaceDN w:val="0"/>
        <w:adjustRightInd w:val="0"/>
        <w:ind w:left="284" w:hanging="284"/>
        <w:rPr>
          <w:sz w:val="20"/>
          <w:szCs w:val="20"/>
        </w:rPr>
      </w:pPr>
      <w:r w:rsidRPr="00A14357">
        <w:rPr>
          <w:rStyle w:val="FootnoteReference"/>
          <w:sz w:val="20"/>
          <w:szCs w:val="20"/>
        </w:rPr>
        <w:footnoteRef/>
      </w:r>
      <w:r w:rsidRPr="00A14357">
        <w:rPr>
          <w:sz w:val="20"/>
          <w:szCs w:val="20"/>
          <w:lang w:val="mt-MT"/>
        </w:rPr>
        <w:t xml:space="preserve"> </w:t>
      </w:r>
      <w:r w:rsidR="001C42C7">
        <w:rPr>
          <w:sz w:val="20"/>
          <w:szCs w:val="20"/>
          <w:lang w:val="mt-MT"/>
        </w:rPr>
        <w:tab/>
      </w:r>
      <w:r w:rsidRPr="00A14357">
        <w:rPr>
          <w:sz w:val="20"/>
          <w:szCs w:val="20"/>
        </w:rPr>
        <w:t>The AROPE indicator provides the share of persons who are either at-risk-of-poverty, severely materially deprived or residing in a house with low work intensity (applicable only for persons aged 0-59).</w:t>
      </w:r>
    </w:p>
  </w:footnote>
  <w:footnote w:id="47">
    <w:p w14:paraId="683F0DD4" w14:textId="44E4C4A2" w:rsidR="00EE1F0A" w:rsidRPr="00A14357" w:rsidRDefault="00EE1F0A" w:rsidP="00A14357">
      <w:pPr>
        <w:pStyle w:val="FootnoteRM"/>
      </w:pPr>
      <w:r w:rsidRPr="00A14357">
        <w:rPr>
          <w:rStyle w:val="FootnoteReference"/>
        </w:rPr>
        <w:footnoteRef/>
      </w:r>
      <w:r w:rsidRPr="00A14357">
        <w:t xml:space="preserve"> </w:t>
      </w:r>
      <w:r w:rsidRPr="00A14357">
        <w:tab/>
        <w:t>Some of these issues were addressed in the ANED analysis of social protection in 2016 and in the ANED EU2020 synthesis report.</w:t>
      </w:r>
    </w:p>
  </w:footnote>
  <w:footnote w:id="48">
    <w:p w14:paraId="2E80DAB1" w14:textId="3DDC9EC1" w:rsidR="00EE1F0A" w:rsidRPr="00A14357" w:rsidRDefault="00EE1F0A" w:rsidP="00A14357">
      <w:pPr>
        <w:pStyle w:val="FootnoteText"/>
        <w:ind w:left="284" w:hanging="284"/>
      </w:pPr>
      <w:r w:rsidRPr="00A14357">
        <w:rPr>
          <w:rStyle w:val="FootnoteReference"/>
        </w:rPr>
        <w:footnoteRef/>
      </w:r>
      <w:r w:rsidRPr="00A14357">
        <w:t xml:space="preserve"> </w:t>
      </w:r>
      <w:r w:rsidR="001C42C7">
        <w:tab/>
      </w:r>
      <w:r w:rsidRPr="00A14357">
        <w:t xml:space="preserve">The non-contributory disability pension consists of 4 types of disability assistances: the ISDA, the Severe Disability Assistance (SDA), the Disability Assistance (DA), and the Assistance for the Visually Impaired (BLD). </w:t>
      </w:r>
    </w:p>
  </w:footnote>
  <w:footnote w:id="49">
    <w:p w14:paraId="20528554" w14:textId="3F36B1E0" w:rsidR="00EE1F0A" w:rsidRPr="00A14357" w:rsidRDefault="00EE1F0A" w:rsidP="00A14357">
      <w:pPr>
        <w:pStyle w:val="FootnoteText"/>
        <w:ind w:left="284" w:hanging="284"/>
      </w:pPr>
      <w:r w:rsidRPr="00A14357">
        <w:rPr>
          <w:rStyle w:val="FootnoteReference"/>
        </w:rPr>
        <w:footnoteRef/>
      </w:r>
      <w:r w:rsidRPr="00A14357">
        <w:t xml:space="preserve"> </w:t>
      </w:r>
      <w:r w:rsidR="001C42C7">
        <w:tab/>
      </w:r>
      <w:hyperlink r:id="rId44" w:history="1">
        <w:r w:rsidR="001C42C7" w:rsidRPr="007E5DFC">
          <w:rPr>
            <w:rStyle w:val="Hyperlink"/>
          </w:rPr>
          <w:t>https://socialsecurity.gov.mt</w:t>
        </w:r>
      </w:hyperlink>
      <w:r w:rsidR="001C42C7">
        <w:t xml:space="preserve">. </w:t>
      </w:r>
    </w:p>
  </w:footnote>
  <w:footnote w:id="50">
    <w:p w14:paraId="18D1B6DE" w14:textId="19B87C20" w:rsidR="00EE1F0A" w:rsidRPr="00A14357" w:rsidRDefault="00EE1F0A" w:rsidP="00A14357">
      <w:pPr>
        <w:pStyle w:val="FootnoteText"/>
        <w:ind w:left="284" w:hanging="284"/>
      </w:pPr>
      <w:r w:rsidRPr="00A14357">
        <w:rPr>
          <w:rStyle w:val="FootnoteReference"/>
        </w:rPr>
        <w:footnoteRef/>
      </w:r>
      <w:r w:rsidRPr="00A14357">
        <w:t xml:space="preserve"> </w:t>
      </w:r>
      <w:r w:rsidR="001C42C7">
        <w:tab/>
      </w:r>
      <w:hyperlink r:id="rId45" w:history="1">
        <w:r w:rsidR="001C42C7" w:rsidRPr="007E5DFC">
          <w:rPr>
            <w:rStyle w:val="Hyperlink"/>
          </w:rPr>
          <w:t>http://justiceservices.gov.mt/DownloadDocument.aspx?app=lom&amp;itemid=8794</w:t>
        </w:r>
      </w:hyperlink>
      <w:r w:rsidR="001C42C7">
        <w:t xml:space="preserve">. </w:t>
      </w:r>
    </w:p>
  </w:footnote>
  <w:footnote w:id="51">
    <w:p w14:paraId="406123D6" w14:textId="1AF8E8F5" w:rsidR="00EE1F0A" w:rsidRPr="00A14357" w:rsidRDefault="00EE1F0A" w:rsidP="00A14357">
      <w:pPr>
        <w:pStyle w:val="FootnoteText"/>
        <w:ind w:left="284" w:hanging="284"/>
      </w:pPr>
      <w:r w:rsidRPr="00A14357">
        <w:rPr>
          <w:rStyle w:val="FootnoteReference"/>
        </w:rPr>
        <w:footnoteRef/>
      </w:r>
      <w:r w:rsidRPr="00A14357">
        <w:t xml:space="preserve"> </w:t>
      </w:r>
      <w:r w:rsidR="001C42C7">
        <w:tab/>
      </w:r>
      <w:r w:rsidRPr="00A14357">
        <w:t xml:space="preserve">These issues were addressed in the ANED 2017-2018 Malta Country Report on Disability Assessment. </w:t>
      </w:r>
    </w:p>
  </w:footnote>
  <w:footnote w:id="52">
    <w:p w14:paraId="69A8A3A1" w14:textId="6FF5B537" w:rsidR="00EE1F0A" w:rsidRPr="001C42C7" w:rsidRDefault="00EE1F0A" w:rsidP="00A14357">
      <w:pPr>
        <w:pStyle w:val="FootnoteText"/>
        <w:ind w:left="284" w:hanging="284"/>
      </w:pPr>
      <w:r w:rsidRPr="00A14357">
        <w:rPr>
          <w:rStyle w:val="FootnoteReference"/>
        </w:rPr>
        <w:footnoteRef/>
      </w:r>
      <w:r w:rsidRPr="00A14357">
        <w:rPr>
          <w:lang w:val="mt-MT"/>
        </w:rPr>
        <w:t xml:space="preserve"> </w:t>
      </w:r>
      <w:r w:rsidR="001C42C7">
        <w:rPr>
          <w:lang w:val="mt-MT"/>
        </w:rPr>
        <w:tab/>
      </w:r>
      <w:hyperlink r:id="rId46" w:history="1">
        <w:r w:rsidR="001C42C7" w:rsidRPr="007E5DFC">
          <w:rPr>
            <w:rStyle w:val="Hyperlink"/>
            <w:lang w:val="mt-MT"/>
          </w:rPr>
          <w:t>https://mfin.gov.mt/en/The-Budget/Pages/The-Budget-2018.aspx</w:t>
        </w:r>
      </w:hyperlink>
      <w:r w:rsidR="001C42C7">
        <w:t xml:space="preserve">. </w:t>
      </w:r>
    </w:p>
  </w:footnote>
  <w:footnote w:id="53">
    <w:p w14:paraId="7D9173FE" w14:textId="655D5088" w:rsidR="00EE1F0A" w:rsidRPr="00A14357" w:rsidRDefault="00EE1F0A" w:rsidP="00A14357">
      <w:pPr>
        <w:pStyle w:val="FootnoteText"/>
        <w:ind w:left="284" w:hanging="284"/>
        <w:rPr>
          <w:lang w:val="mt-MT"/>
        </w:rPr>
      </w:pPr>
      <w:r w:rsidRPr="00A14357">
        <w:rPr>
          <w:rStyle w:val="FootnoteReference"/>
        </w:rPr>
        <w:footnoteRef/>
      </w:r>
      <w:r w:rsidRPr="00A14357">
        <w:rPr>
          <w:lang w:val="mt-MT"/>
        </w:rPr>
        <w:t xml:space="preserve"> </w:t>
      </w:r>
      <w:r w:rsidR="001C42C7">
        <w:rPr>
          <w:lang w:val="mt-MT"/>
        </w:rPr>
        <w:tab/>
      </w:r>
      <w:hyperlink r:id="rId47" w:history="1">
        <w:r w:rsidR="001C42C7" w:rsidRPr="007E5DFC">
          <w:rPr>
            <w:rStyle w:val="Hyperlink"/>
            <w:lang w:val="mt-MT"/>
          </w:rPr>
          <w:t>http://crpd.org.mt/wp-content/uploads/2016/04/001-indsupliv2011rpt.pdf</w:t>
        </w:r>
      </w:hyperlink>
      <w:r w:rsidR="001C42C7">
        <w:rPr>
          <w:rStyle w:val="Hyperlink"/>
          <w:u w:val="none"/>
        </w:rPr>
        <w:t>.</w:t>
      </w:r>
      <w:r w:rsidRPr="00A14357">
        <w:rPr>
          <w:lang w:val="mt-MT"/>
        </w:rPr>
        <w:t xml:space="preserve"> </w:t>
      </w:r>
    </w:p>
  </w:footnote>
  <w:footnote w:id="54">
    <w:p w14:paraId="1E002685" w14:textId="47E767DE" w:rsidR="00EE1F0A" w:rsidRPr="00A14357" w:rsidRDefault="00EE1F0A" w:rsidP="00A14357">
      <w:pPr>
        <w:pStyle w:val="FootnoteText"/>
        <w:ind w:left="284" w:hanging="284"/>
        <w:rPr>
          <w:lang w:val="mt-MT"/>
        </w:rPr>
      </w:pPr>
      <w:r w:rsidRPr="00A14357">
        <w:rPr>
          <w:rStyle w:val="FootnoteReference"/>
        </w:rPr>
        <w:footnoteRef/>
      </w:r>
      <w:r w:rsidRPr="00A14357">
        <w:rPr>
          <w:lang w:val="mt-MT"/>
        </w:rPr>
        <w:t xml:space="preserve"> </w:t>
      </w:r>
      <w:hyperlink r:id="rId48" w:history="1">
        <w:r w:rsidRPr="00A14357">
          <w:rPr>
            <w:rStyle w:val="Hyperlink"/>
            <w:lang w:val="mt-MT"/>
          </w:rPr>
          <w:t>http://tbinternet.ohchr.org/_layouts/treatybodyexternal/Download.aspx?symbolno=CRPD/C/GC/5&amp;Lang=en</w:t>
        </w:r>
      </w:hyperlink>
      <w:r w:rsidR="001C42C7" w:rsidRPr="002C6495">
        <w:rPr>
          <w:rStyle w:val="Hyperlink"/>
          <w:u w:val="none"/>
          <w:lang w:val="mt-MT"/>
        </w:rPr>
        <w:t>.</w:t>
      </w:r>
      <w:r w:rsidRPr="00A14357">
        <w:rPr>
          <w:lang w:val="mt-MT"/>
        </w:rPr>
        <w:t xml:space="preserve"> </w:t>
      </w:r>
    </w:p>
  </w:footnote>
  <w:footnote w:id="55">
    <w:p w14:paraId="0B3680CD" w14:textId="13889029" w:rsidR="00EE1F0A" w:rsidRPr="00A14357" w:rsidRDefault="00EE1F0A" w:rsidP="00A14357">
      <w:pPr>
        <w:pStyle w:val="FootnoteText"/>
        <w:ind w:left="284" w:hanging="284"/>
        <w:rPr>
          <w:lang w:val="mt-MT"/>
        </w:rPr>
      </w:pPr>
      <w:r w:rsidRPr="00A14357">
        <w:rPr>
          <w:rStyle w:val="FootnoteReference"/>
        </w:rPr>
        <w:footnoteRef/>
      </w:r>
      <w:r w:rsidRPr="00A14357">
        <w:rPr>
          <w:lang w:val="mt-MT"/>
        </w:rPr>
        <w:t xml:space="preserve"> </w:t>
      </w:r>
      <w:r w:rsidR="001C42C7">
        <w:rPr>
          <w:lang w:val="mt-MT"/>
        </w:rPr>
        <w:tab/>
      </w:r>
      <w:hyperlink r:id="rId49" w:history="1">
        <w:r w:rsidR="001C42C7" w:rsidRPr="007E5DFC">
          <w:rPr>
            <w:rStyle w:val="Hyperlink"/>
            <w:lang w:val="mt-MT"/>
          </w:rPr>
          <w:t>https://activeageing.gov.mt/en/Documents/SOCIAL%20POLICY%20WEB.pdf</w:t>
        </w:r>
      </w:hyperlink>
      <w:r w:rsidR="001C42C7" w:rsidRPr="002C6495">
        <w:rPr>
          <w:rStyle w:val="Hyperlink"/>
          <w:u w:val="none"/>
          <w:lang w:val="mt-MT"/>
        </w:rPr>
        <w:t>.</w:t>
      </w:r>
      <w:r w:rsidRPr="00A14357">
        <w:rPr>
          <w:lang w:val="mt-MT"/>
        </w:rPr>
        <w:t xml:space="preserve"> </w:t>
      </w:r>
    </w:p>
  </w:footnote>
  <w:footnote w:id="56">
    <w:p w14:paraId="4A049152" w14:textId="790F2692" w:rsidR="00EE1F0A" w:rsidRPr="00A14357" w:rsidRDefault="00EE1F0A" w:rsidP="00A14357">
      <w:pPr>
        <w:pStyle w:val="FootnoteText"/>
        <w:ind w:left="284" w:hanging="284"/>
        <w:rPr>
          <w:lang w:val="mt-MT"/>
        </w:rPr>
      </w:pPr>
      <w:r w:rsidRPr="00A14357">
        <w:rPr>
          <w:rStyle w:val="FootnoteReference"/>
        </w:rPr>
        <w:footnoteRef/>
      </w:r>
      <w:r w:rsidRPr="00A14357">
        <w:rPr>
          <w:lang w:val="mt-MT"/>
        </w:rPr>
        <w:t xml:space="preserve"> </w:t>
      </w:r>
      <w:r w:rsidR="001C42C7">
        <w:rPr>
          <w:lang w:val="mt-MT"/>
        </w:rPr>
        <w:tab/>
      </w:r>
      <w:hyperlink r:id="rId50" w:history="1">
        <w:r w:rsidR="001C42C7" w:rsidRPr="007E5DFC">
          <w:rPr>
            <w:rStyle w:val="Hyperlink"/>
            <w:lang w:val="mt-MT"/>
          </w:rPr>
          <w:t>https://family.gov.mt/en/DSWS/Pages/Disability/National-Standards-for-Residential-Services-for-Persons-with-Disabilities.aspx</w:t>
        </w:r>
      </w:hyperlink>
      <w:r w:rsidR="001C42C7" w:rsidRPr="002C6495">
        <w:rPr>
          <w:rStyle w:val="Hyperlink"/>
          <w:u w:val="none"/>
          <w:lang w:val="mt-MT"/>
        </w:rPr>
        <w:t>.</w:t>
      </w:r>
      <w:r w:rsidRPr="00A14357">
        <w:rPr>
          <w:lang w:val="mt-MT"/>
        </w:rPr>
        <w:t xml:space="preserve"> </w:t>
      </w:r>
    </w:p>
  </w:footnote>
  <w:footnote w:id="57">
    <w:p w14:paraId="6B8D2AE9" w14:textId="55479949" w:rsidR="00EE1F0A" w:rsidRPr="00A14357" w:rsidRDefault="00EE1F0A" w:rsidP="00A14357">
      <w:pPr>
        <w:pStyle w:val="FootnoteText"/>
        <w:ind w:left="284" w:hanging="284"/>
        <w:rPr>
          <w:lang w:val="mt-MT"/>
        </w:rPr>
      </w:pPr>
      <w:r w:rsidRPr="00A14357">
        <w:rPr>
          <w:rStyle w:val="FootnoteReference"/>
        </w:rPr>
        <w:footnoteRef/>
      </w:r>
      <w:r w:rsidRPr="00A14357">
        <w:rPr>
          <w:lang w:val="mt-MT"/>
        </w:rPr>
        <w:t xml:space="preserve"> </w:t>
      </w:r>
      <w:r w:rsidR="001C42C7">
        <w:rPr>
          <w:lang w:val="mt-MT"/>
        </w:rPr>
        <w:tab/>
      </w:r>
      <w:hyperlink r:id="rId51" w:history="1">
        <w:r w:rsidR="001C42C7" w:rsidRPr="007E5DFC">
          <w:rPr>
            <w:rStyle w:val="Hyperlink"/>
            <w:lang w:val="mt-MT"/>
          </w:rPr>
          <w:t>https://activeageing.gov.mt/en/Documents/Book%20design%20english.pdf</w:t>
        </w:r>
      </w:hyperlink>
      <w:r w:rsidR="001C42C7" w:rsidRPr="002C6495">
        <w:rPr>
          <w:rStyle w:val="Hyperlink"/>
          <w:u w:val="none"/>
          <w:lang w:val="mt-MT"/>
        </w:rPr>
        <w:t>.</w:t>
      </w:r>
      <w:r w:rsidRPr="00A14357">
        <w:rPr>
          <w:lang w:val="mt-MT"/>
        </w:rPr>
        <w:t xml:space="preserve"> </w:t>
      </w:r>
    </w:p>
  </w:footnote>
  <w:footnote w:id="58">
    <w:p w14:paraId="1CD8741F" w14:textId="00AE5604" w:rsidR="00EE1F0A" w:rsidRPr="002C6495" w:rsidRDefault="00EE1F0A" w:rsidP="00A14357">
      <w:pPr>
        <w:pStyle w:val="FootnoteText"/>
        <w:ind w:left="284" w:hanging="284"/>
        <w:rPr>
          <w:lang w:val="mt-MT"/>
        </w:rPr>
      </w:pPr>
      <w:r w:rsidRPr="00A14357">
        <w:rPr>
          <w:rStyle w:val="FootnoteReference"/>
        </w:rPr>
        <w:footnoteRef/>
      </w:r>
      <w:r w:rsidRPr="00A14357">
        <w:rPr>
          <w:lang w:val="mt-MT"/>
        </w:rPr>
        <w:t xml:space="preserve"> </w:t>
      </w:r>
      <w:r w:rsidR="001C42C7">
        <w:rPr>
          <w:lang w:val="mt-MT"/>
        </w:rPr>
        <w:tab/>
      </w:r>
      <w:hyperlink r:id="rId52" w:history="1">
        <w:r w:rsidR="001C42C7" w:rsidRPr="007E5DFC">
          <w:rPr>
            <w:rStyle w:val="Hyperlink"/>
            <w:lang w:val="mt-MT"/>
          </w:rPr>
          <w:t>https://family.gov.mt/en/DSWS/Pages/Disability/National-Standards-for-Residential-Services-for-Persons-with-Disabilities.aspx</w:t>
        </w:r>
      </w:hyperlink>
      <w:r w:rsidR="001C42C7" w:rsidRPr="002C6495">
        <w:rPr>
          <w:lang w:val="mt-MT"/>
        </w:rPr>
        <w:t xml:space="preserve">. </w:t>
      </w:r>
    </w:p>
  </w:footnote>
  <w:footnote w:id="59">
    <w:p w14:paraId="3DDD67CC" w14:textId="66554CDC" w:rsidR="00EE1F0A" w:rsidRPr="00A14357" w:rsidRDefault="00EE1F0A" w:rsidP="00A14357">
      <w:pPr>
        <w:pStyle w:val="FootnoteText"/>
        <w:ind w:left="284" w:hanging="284"/>
      </w:pPr>
      <w:r w:rsidRPr="00A14357">
        <w:rPr>
          <w:rStyle w:val="FootnoteReference"/>
        </w:rPr>
        <w:footnoteRef/>
      </w:r>
      <w:r w:rsidRPr="00A14357">
        <w:t xml:space="preserve"> </w:t>
      </w:r>
      <w:r w:rsidR="001C42C7">
        <w:tab/>
      </w:r>
      <w:r w:rsidRPr="00A14357">
        <w:t xml:space="preserve">Such a proposal was made by the Nationalist Party in its electoral programme for the 2013 General Election, although the proposal here was that the agreement be drawn up between the family of disabled persons and the government: </w:t>
      </w:r>
      <w:hyperlink r:id="rId53" w:history="1">
        <w:r w:rsidRPr="00A14357">
          <w:rPr>
            <w:rStyle w:val="Hyperlink"/>
          </w:rPr>
          <w:t>https://www.um.edu.mt/__data/assets/pdf_file/0017/207350/PNManifesto2013.pdf</w:t>
        </w:r>
      </w:hyperlink>
      <w:r w:rsidRPr="00A14357">
        <w:t xml:space="preserve"> / Maltese version: </w:t>
      </w:r>
      <w:hyperlink r:id="rId54" w:history="1">
        <w:r w:rsidR="001C42C7" w:rsidRPr="007E5DFC">
          <w:rPr>
            <w:rStyle w:val="Hyperlink"/>
          </w:rPr>
          <w:t>https://issuu.com/partitnazzjonalista/docs/programm-elettorali</w:t>
        </w:r>
      </w:hyperlink>
      <w:r w:rsidR="001C42C7">
        <w:t xml:space="preserve">. </w:t>
      </w:r>
    </w:p>
  </w:footnote>
  <w:footnote w:id="60">
    <w:p w14:paraId="06A6C1ED" w14:textId="298C0F46" w:rsidR="00EE1F0A" w:rsidRPr="00412BD4" w:rsidRDefault="00EE1F0A" w:rsidP="00A14357">
      <w:pPr>
        <w:pStyle w:val="FootnoteText"/>
        <w:ind w:left="284" w:hanging="284"/>
        <w:rPr>
          <w:color w:val="0070C0"/>
        </w:rPr>
      </w:pPr>
      <w:r w:rsidRPr="00A14357">
        <w:rPr>
          <w:rStyle w:val="FootnoteReference"/>
        </w:rPr>
        <w:footnoteRef/>
      </w:r>
      <w:r w:rsidRPr="00A14357">
        <w:rPr>
          <w:lang w:val="mt-MT"/>
        </w:rPr>
        <w:t xml:space="preserve"> </w:t>
      </w:r>
      <w:r w:rsidR="001C42C7">
        <w:rPr>
          <w:lang w:val="mt-MT"/>
        </w:rPr>
        <w:tab/>
      </w:r>
      <w:hyperlink r:id="rId55" w:history="1">
        <w:r w:rsidR="001C42C7" w:rsidRPr="007E5DFC">
          <w:rPr>
            <w:rStyle w:val="Hyperlink"/>
            <w:shd w:val="clear" w:color="auto" w:fill="FFFFFF"/>
            <w:lang w:val="mt-MT"/>
          </w:rPr>
          <w:t>https://activeageing.gov.mt/Elderly-and-Community%20Care-Services-Information/Pages/default.aspx</w:t>
        </w:r>
      </w:hyperlink>
      <w:r w:rsidR="00412BD4">
        <w:rPr>
          <w:color w:val="0070C0"/>
          <w:shd w:val="clear" w:color="auto" w:fill="FFFFFF"/>
        </w:rPr>
        <w:t>.</w:t>
      </w:r>
    </w:p>
  </w:footnote>
  <w:footnote w:id="61">
    <w:p w14:paraId="5691DE5D" w14:textId="76A5D19D" w:rsidR="00EE1F0A" w:rsidRPr="00412BD4" w:rsidRDefault="00EE1F0A" w:rsidP="00A14357">
      <w:pPr>
        <w:pStyle w:val="FootnoteText"/>
        <w:ind w:left="284" w:hanging="284"/>
      </w:pPr>
      <w:r w:rsidRPr="00A14357">
        <w:rPr>
          <w:rStyle w:val="FootnoteReference"/>
        </w:rPr>
        <w:footnoteRef/>
      </w:r>
      <w:r w:rsidRPr="00A14357">
        <w:rPr>
          <w:lang w:val="mt-MT"/>
        </w:rPr>
        <w:t xml:space="preserve"> </w:t>
      </w:r>
      <w:r w:rsidR="001C42C7">
        <w:rPr>
          <w:lang w:val="mt-MT"/>
        </w:rPr>
        <w:tab/>
      </w:r>
      <w:hyperlink r:id="rId56" w:history="1">
        <w:r w:rsidR="00412BD4" w:rsidRPr="007E5DFC">
          <w:rPr>
            <w:rStyle w:val="Hyperlink"/>
            <w:lang w:val="mt-MT"/>
          </w:rPr>
          <w:t>https://family.gov.mt/financial-education/implementation-group/Pages/The-Strategy-for-Retirement-and-Financial-Capability.aspx</w:t>
        </w:r>
      </w:hyperlink>
      <w:r w:rsidR="00412BD4">
        <w:t xml:space="preserve">. </w:t>
      </w:r>
    </w:p>
  </w:footnote>
  <w:footnote w:id="62">
    <w:p w14:paraId="32F66A2A" w14:textId="5267797B" w:rsidR="00EE1F0A" w:rsidRPr="00A14357" w:rsidRDefault="00EE1F0A" w:rsidP="00A14357">
      <w:pPr>
        <w:pStyle w:val="FootnoteRM"/>
        <w:rPr>
          <w:lang w:val="mt-MT"/>
        </w:rPr>
      </w:pPr>
      <w:r w:rsidRPr="00A14357">
        <w:rPr>
          <w:rStyle w:val="FootnoteReference"/>
        </w:rPr>
        <w:footnoteRef/>
      </w:r>
      <w:r w:rsidRPr="00A14357">
        <w:rPr>
          <w:lang w:val="mt-MT"/>
        </w:rPr>
        <w:tab/>
      </w:r>
      <w:hyperlink r:id="rId57" w:history="1">
        <w:r w:rsidRPr="00A14357">
          <w:rPr>
            <w:rStyle w:val="Hyperlink"/>
            <w:lang w:val="mt-MT"/>
          </w:rPr>
          <w:t>https://parlament.mt/media/37392/act-vii-various-laws-personswith-disability-membership-in-various-entities-act-2015.pdf</w:t>
        </w:r>
      </w:hyperlink>
      <w:r w:rsidR="00412BD4">
        <w:rPr>
          <w:rStyle w:val="Hyperlink"/>
          <w:u w:val="none"/>
        </w:rPr>
        <w:t>.</w:t>
      </w:r>
      <w:r w:rsidRPr="00A14357">
        <w:rPr>
          <w:lang w:val="mt-MT"/>
        </w:rPr>
        <w:t xml:space="preserve">   </w:t>
      </w:r>
    </w:p>
  </w:footnote>
  <w:footnote w:id="63">
    <w:p w14:paraId="45FD6052" w14:textId="6311E540" w:rsidR="00EE1F0A" w:rsidRPr="002C6495" w:rsidRDefault="00EE1F0A" w:rsidP="00A14357">
      <w:pPr>
        <w:pStyle w:val="FootnoteText"/>
        <w:ind w:left="284" w:hanging="284"/>
        <w:rPr>
          <w:lang w:val="mt-MT"/>
        </w:rPr>
      </w:pPr>
      <w:r w:rsidRPr="00A14357">
        <w:rPr>
          <w:rStyle w:val="FootnoteReference"/>
        </w:rPr>
        <w:footnoteRef/>
      </w:r>
      <w:r w:rsidRPr="00A14357">
        <w:rPr>
          <w:lang w:val="mt-MT"/>
        </w:rPr>
        <w:t xml:space="preserve"> </w:t>
      </w:r>
      <w:r w:rsidR="00412BD4">
        <w:rPr>
          <w:lang w:val="mt-MT"/>
        </w:rPr>
        <w:tab/>
      </w:r>
      <w:hyperlink r:id="rId58" w:history="1">
        <w:r w:rsidR="00412BD4" w:rsidRPr="007E5DFC">
          <w:rPr>
            <w:rStyle w:val="Hyperlink"/>
            <w:lang w:val="mt-MT"/>
          </w:rPr>
          <w:t>https://sapport.gov.mt/en/About-Us/Pages/EU-Projects.aspx</w:t>
        </w:r>
      </w:hyperlink>
      <w:r w:rsidR="00412BD4" w:rsidRPr="002C6495">
        <w:rPr>
          <w:lang w:val="mt-MT"/>
        </w:rPr>
        <w:t xml:space="preserve">. </w:t>
      </w:r>
    </w:p>
  </w:footnote>
  <w:footnote w:id="64">
    <w:p w14:paraId="6F22E22A" w14:textId="7978A901" w:rsidR="00EE1F0A" w:rsidRPr="002C6495" w:rsidRDefault="00EE1F0A" w:rsidP="00A14357">
      <w:pPr>
        <w:pStyle w:val="FootnoteText"/>
        <w:ind w:left="284" w:hanging="284"/>
        <w:rPr>
          <w:lang w:val="mt-MT"/>
        </w:rPr>
      </w:pPr>
      <w:r w:rsidRPr="00A14357">
        <w:rPr>
          <w:rStyle w:val="FootnoteReference"/>
        </w:rPr>
        <w:footnoteRef/>
      </w:r>
      <w:r w:rsidRPr="00A14357">
        <w:rPr>
          <w:lang w:val="mt-MT"/>
        </w:rPr>
        <w:t xml:space="preserve"> </w:t>
      </w:r>
      <w:r w:rsidR="00412BD4">
        <w:rPr>
          <w:lang w:val="mt-MT"/>
        </w:rPr>
        <w:tab/>
      </w:r>
      <w:hyperlink r:id="rId59" w:history="1">
        <w:r w:rsidR="00412BD4" w:rsidRPr="007E5DFC">
          <w:rPr>
            <w:rStyle w:val="Hyperlink"/>
            <w:lang w:val="mt-MT"/>
          </w:rPr>
          <w:t>https://sapport.gov.mt/en/About-Us/Pages/EU-Projects.aspx</w:t>
        </w:r>
      </w:hyperlink>
      <w:r w:rsidR="00412BD4" w:rsidRPr="002C6495">
        <w:rPr>
          <w:lang w:val="mt-MT"/>
        </w:rPr>
        <w:t xml:space="preserve">. </w:t>
      </w:r>
    </w:p>
  </w:footnote>
  <w:footnote w:id="65">
    <w:p w14:paraId="37304821" w14:textId="5B2DA5C3" w:rsidR="00EE1F0A" w:rsidRPr="002C6495" w:rsidRDefault="00EE1F0A" w:rsidP="00A14357">
      <w:pPr>
        <w:pStyle w:val="FootnoteText"/>
        <w:ind w:left="284" w:hanging="284"/>
        <w:rPr>
          <w:lang w:val="mt-MT"/>
        </w:rPr>
      </w:pPr>
      <w:r w:rsidRPr="00A14357">
        <w:rPr>
          <w:rStyle w:val="FootnoteReference"/>
        </w:rPr>
        <w:footnoteRef/>
      </w:r>
      <w:r w:rsidR="00412BD4">
        <w:rPr>
          <w:lang w:val="mt-MT"/>
        </w:rPr>
        <w:tab/>
      </w:r>
      <w:hyperlink r:id="rId60" w:history="1">
        <w:r w:rsidR="00412BD4" w:rsidRPr="007E5DFC">
          <w:rPr>
            <w:rStyle w:val="Hyperlink"/>
            <w:lang w:val="mt-MT"/>
          </w:rPr>
          <w:t>https://www.mca.org.mt/initiatives/assistive-technology-centres</w:t>
        </w:r>
      </w:hyperlink>
      <w:r w:rsidR="00412BD4" w:rsidRPr="002C6495">
        <w:rPr>
          <w:lang w:val="mt-MT"/>
        </w:rPr>
        <w:t xml:space="preserve">. </w:t>
      </w:r>
    </w:p>
  </w:footnote>
  <w:footnote w:id="66">
    <w:p w14:paraId="65E9DF5E" w14:textId="43BB0DC2" w:rsidR="00EE1F0A" w:rsidRPr="00A14357" w:rsidRDefault="00EE1F0A" w:rsidP="00A14357">
      <w:pPr>
        <w:pStyle w:val="FootnoteText"/>
        <w:ind w:left="284" w:hanging="284"/>
      </w:pPr>
      <w:r w:rsidRPr="00A14357">
        <w:rPr>
          <w:rStyle w:val="FootnoteReference"/>
        </w:rPr>
        <w:footnoteRef/>
      </w:r>
      <w:r w:rsidRPr="00A14357">
        <w:t xml:space="preserve"> </w:t>
      </w:r>
      <w:r w:rsidRPr="00A14357">
        <w:tab/>
        <w:t xml:space="preserve">The SILC survey questions are contained in the Minimum European Health Module (MEHM) </w:t>
      </w:r>
      <w:hyperlink r:id="rId61" w:history="1">
        <w:r w:rsidRPr="00A14357">
          <w:rPr>
            <w:rStyle w:val="Hyperlink"/>
          </w:rPr>
          <w:t>http://epp.eurostat.ec.europa.eu/statistics_explained/index.php/Glossary:Minimum_European_Health_Module_(MEHM)</w:t>
        </w:r>
      </w:hyperlink>
      <w:r w:rsidRPr="00A14357">
        <w:rPr>
          <w:rStyle w:val="Hyperlink"/>
          <w:u w:val="none"/>
        </w:rPr>
        <w:t>.</w:t>
      </w:r>
      <w:r w:rsidRPr="00A14357">
        <w:t xml:space="preserve"> </w:t>
      </w:r>
    </w:p>
  </w:footnote>
  <w:footnote w:id="67">
    <w:p w14:paraId="522BB08F" w14:textId="5C430340" w:rsidR="00EE1F0A" w:rsidRPr="00A14357" w:rsidRDefault="00EE1F0A" w:rsidP="00A14357">
      <w:pPr>
        <w:pStyle w:val="FootnoteText"/>
        <w:ind w:left="284" w:hanging="284"/>
      </w:pPr>
      <w:r w:rsidRPr="00A14357">
        <w:rPr>
          <w:rStyle w:val="FootnoteReference"/>
        </w:rPr>
        <w:footnoteRef/>
      </w:r>
      <w:r w:rsidRPr="00A14357">
        <w:t xml:space="preserve"> </w:t>
      </w:r>
      <w:r w:rsidR="00412BD4">
        <w:tab/>
      </w:r>
      <w:r w:rsidRPr="00A14357">
        <w:t xml:space="preserve">The methodology is further explained in the annual statistical reports of ANED, available at </w:t>
      </w:r>
      <w:hyperlink r:id="rId62" w:history="1">
        <w:r w:rsidRPr="00A14357">
          <w:rPr>
            <w:rStyle w:val="Hyperlink"/>
          </w:rPr>
          <w:t>http://www.disability-europe.net/theme/statistical-indicators</w:t>
        </w:r>
      </w:hyperlink>
      <w:r w:rsidR="00412BD4">
        <w:rPr>
          <w:rStyle w:val="Hyperlink"/>
          <w:u w:val="none"/>
        </w:rPr>
        <w:t>.</w:t>
      </w:r>
      <w:r w:rsidRPr="00A14357">
        <w:t xml:space="preserve"> </w:t>
      </w:r>
    </w:p>
  </w:footnote>
  <w:footnote w:id="68">
    <w:p w14:paraId="712147AC" w14:textId="435CDACF" w:rsidR="00EE1F0A" w:rsidRPr="00A14357" w:rsidRDefault="00EE1F0A" w:rsidP="00A14357">
      <w:pPr>
        <w:pStyle w:val="FootnoteText"/>
        <w:ind w:left="284" w:hanging="284"/>
      </w:pPr>
      <w:r w:rsidRPr="00A14357">
        <w:rPr>
          <w:rStyle w:val="FootnoteReference"/>
        </w:rPr>
        <w:footnoteRef/>
      </w:r>
      <w:r w:rsidRPr="00A14357">
        <w:t xml:space="preserve"> </w:t>
      </w:r>
      <w:r w:rsidR="00412BD4">
        <w:tab/>
      </w:r>
      <w:r w:rsidRPr="00A14357">
        <w:t>A discontinuity in the German disability data due to a definitional change in 2015 (reducing prevalence estimates) and affected the estimation of EU average indicators and trends. A break in the Italian prevalence data in 2016 was also large enough to affect the EU average.</w:t>
      </w:r>
    </w:p>
  </w:footnote>
  <w:footnote w:id="69">
    <w:p w14:paraId="2B7B4E4E" w14:textId="4C4B9EB3" w:rsidR="00EE1F0A" w:rsidRPr="00412BD4" w:rsidRDefault="00EE1F0A" w:rsidP="00412BD4">
      <w:pPr>
        <w:pStyle w:val="FootnoteRM"/>
      </w:pPr>
      <w:r w:rsidRPr="00A14357">
        <w:rPr>
          <w:rStyle w:val="FootnoteReference"/>
        </w:rPr>
        <w:footnoteRef/>
      </w:r>
      <w:r w:rsidR="00412BD4">
        <w:t xml:space="preserve"> </w:t>
      </w:r>
      <w:hyperlink r:id="rId63" w:history="1">
        <w:r w:rsidR="00412BD4" w:rsidRPr="007E5DFC">
          <w:rPr>
            <w:rStyle w:val="Hyperlink"/>
            <w:lang w:val="mt-MT"/>
          </w:rPr>
          <w:t>https://nso.gov.mt/en/News_Releases/View_by_Unit/Unit_C2/Labour_Market_Statistics/Documents/2018/News2018_028.pdf</w:t>
        </w:r>
      </w:hyperlink>
      <w:r w:rsidR="00412BD4">
        <w:t xml:space="preserve">. </w:t>
      </w:r>
    </w:p>
  </w:footnote>
  <w:footnote w:id="70">
    <w:p w14:paraId="4CCAB68A" w14:textId="3CBCB136" w:rsidR="00EE1F0A" w:rsidRPr="00A14357" w:rsidRDefault="00EE1F0A" w:rsidP="00A14357">
      <w:pPr>
        <w:pStyle w:val="FootnoteText"/>
        <w:ind w:left="284" w:hanging="284"/>
      </w:pPr>
      <w:r w:rsidRPr="00A14357">
        <w:rPr>
          <w:rStyle w:val="FootnoteReference"/>
        </w:rPr>
        <w:footnoteRef/>
      </w:r>
      <w:r w:rsidRPr="00A14357">
        <w:t xml:space="preserve"> The data is available from </w:t>
      </w:r>
      <w:hyperlink r:id="rId64" w:history="1">
        <w:r w:rsidRPr="00A14357">
          <w:rPr>
            <w:rStyle w:val="Hyperlink0"/>
            <w:rFonts w:cs="Arial"/>
          </w:rPr>
          <w:t>http://www.knpd.org/Issues/research.html</w:t>
        </w:r>
      </w:hyperlink>
      <w:r w:rsidRPr="00A14357">
        <w:t>.</w:t>
      </w:r>
    </w:p>
  </w:footnote>
  <w:footnote w:id="71">
    <w:p w14:paraId="704CF846" w14:textId="0C14186A" w:rsidR="00EE1F0A" w:rsidRPr="00A14357" w:rsidRDefault="00EE1F0A" w:rsidP="00A14357">
      <w:pPr>
        <w:pStyle w:val="FootnoteRM"/>
      </w:pPr>
      <w:r w:rsidRPr="00A14357">
        <w:rPr>
          <w:rStyle w:val="FootnoteReference"/>
        </w:rPr>
        <w:footnoteRef/>
      </w:r>
      <w:r w:rsidRPr="00A14357">
        <w:t xml:space="preserve"> </w:t>
      </w:r>
      <w:r w:rsidRPr="00A14357">
        <w:tab/>
      </w:r>
      <w:r w:rsidRPr="00A14357">
        <w:rPr>
          <w:lang w:val="en-US"/>
        </w:rPr>
        <w:t xml:space="preserve">Report available from: </w:t>
      </w:r>
      <w:hyperlink r:id="rId65" w:history="1">
        <w:r w:rsidRPr="00A14357">
          <w:rPr>
            <w:rStyle w:val="Hyperlink"/>
            <w:lang w:val="en-US"/>
          </w:rPr>
          <w:t>https://nso.gov.mt/en/publicatons/Publications_by_Unit/Documents/01_Methodology_and_Research/Census2011_FinalReport.pdf</w:t>
        </w:r>
      </w:hyperlink>
      <w:r w:rsidR="00412BD4">
        <w:rPr>
          <w:rStyle w:val="Hyperlink"/>
          <w:u w:val="none"/>
          <w:lang w:val="en-US"/>
        </w:rPr>
        <w:t>.</w:t>
      </w:r>
      <w:r w:rsidRPr="00A14357">
        <w:rPr>
          <w:lang w:val="en-US"/>
        </w:rPr>
        <w:t xml:space="preserve"> </w:t>
      </w:r>
    </w:p>
  </w:footnote>
  <w:footnote w:id="72">
    <w:p w14:paraId="0ED9E170" w14:textId="69CFBFC7" w:rsidR="00EE1F0A" w:rsidRPr="00A14357" w:rsidRDefault="00EE1F0A" w:rsidP="00A14357">
      <w:pPr>
        <w:pStyle w:val="FootnoteText"/>
        <w:ind w:left="284" w:hanging="284"/>
      </w:pPr>
      <w:r w:rsidRPr="00A14357">
        <w:rPr>
          <w:rStyle w:val="FootnoteReference"/>
        </w:rPr>
        <w:footnoteRef/>
      </w:r>
      <w:r w:rsidRPr="00A14357">
        <w:t xml:space="preserve"> </w:t>
      </w:r>
      <w:r w:rsidR="00412BD4">
        <w:tab/>
      </w:r>
      <w:r w:rsidRPr="00A14357">
        <w:t>There was a change from ISCED 1997 to ISCED 2011 qualification definitions in 2014 although some Member States continued to use the older definition in 2015.</w:t>
      </w:r>
    </w:p>
  </w:footnote>
  <w:footnote w:id="73">
    <w:p w14:paraId="6E7BB226" w14:textId="61FD2E00" w:rsidR="00EE1F0A" w:rsidRPr="00A14357" w:rsidRDefault="00EE1F0A" w:rsidP="00A14357">
      <w:pPr>
        <w:pStyle w:val="FootnoteText"/>
        <w:ind w:left="284" w:hanging="284"/>
      </w:pPr>
      <w:r w:rsidRPr="00A14357">
        <w:rPr>
          <w:rStyle w:val="FootnoteReference"/>
        </w:rPr>
        <w:footnoteRef/>
      </w:r>
      <w:r w:rsidRPr="00A14357">
        <w:t xml:space="preserve"> </w:t>
      </w:r>
      <w:r w:rsidR="00412BD4">
        <w:tab/>
      </w:r>
      <w:r w:rsidRPr="00A14357">
        <w:t xml:space="preserve">This is the number of students at who were registered as having a disability. The Access Disability Support Unit reports that during the academic year 2017-2018, there were 149 students with disabilities who made use of their services, and these may not be necessarily registered as disabled with the university. </w:t>
      </w:r>
    </w:p>
  </w:footnote>
  <w:footnote w:id="74">
    <w:p w14:paraId="234AE039" w14:textId="48DAA7BE" w:rsidR="00EE1F0A" w:rsidRPr="00A14357" w:rsidRDefault="00EE1F0A" w:rsidP="00A14357">
      <w:pPr>
        <w:pStyle w:val="FootnoteText"/>
        <w:ind w:left="284" w:hanging="284"/>
      </w:pPr>
      <w:r w:rsidRPr="00A14357">
        <w:rPr>
          <w:rStyle w:val="FootnoteReference"/>
        </w:rPr>
        <w:footnoteRef/>
      </w:r>
      <w:r w:rsidRPr="00A14357">
        <w:t xml:space="preserve"> </w:t>
      </w:r>
      <w:r w:rsidR="00412BD4">
        <w:tab/>
      </w:r>
      <w:r w:rsidRPr="00A14357">
        <w:t xml:space="preserve">832 students were registered with the Inclusive Education Unit at MCAST, 298 of whom are female and 534 </w:t>
      </w:r>
      <w:proofErr w:type="gramStart"/>
      <w:r w:rsidRPr="00A14357">
        <w:t>male</w:t>
      </w:r>
      <w:proofErr w:type="gramEnd"/>
      <w:r w:rsidRPr="00A14357">
        <w:t xml:space="preserve">. </w:t>
      </w:r>
    </w:p>
  </w:footnote>
  <w:footnote w:id="75">
    <w:p w14:paraId="16E49FC1" w14:textId="53C82ACE" w:rsidR="00EE1F0A" w:rsidRPr="00A14357" w:rsidRDefault="00EE1F0A" w:rsidP="00A14357">
      <w:pPr>
        <w:pStyle w:val="FootnoteText"/>
        <w:ind w:left="284" w:hanging="284"/>
      </w:pPr>
      <w:r w:rsidRPr="00A14357">
        <w:rPr>
          <w:rStyle w:val="FootnoteReference"/>
        </w:rPr>
        <w:footnoteRef/>
      </w:r>
      <w:r w:rsidRPr="00A14357">
        <w:t xml:space="preserve"> </w:t>
      </w:r>
      <w:r w:rsidR="00412BD4">
        <w:tab/>
      </w:r>
      <w:r w:rsidRPr="00A14357">
        <w:t>This is the number of students enrolled in October 2017. By the end of May 2018 there were 6107. However</w:t>
      </w:r>
      <w:r w:rsidR="00412BD4">
        <w:t>,</w:t>
      </w:r>
      <w:r w:rsidRPr="00A14357">
        <w:t xml:space="preserve"> the difference between both figures does not reflect the number of dropouts, since new students were also enrolled after October. </w:t>
      </w:r>
    </w:p>
  </w:footnote>
  <w:footnote w:id="76">
    <w:p w14:paraId="6D1DFE8B" w14:textId="6DBA491B" w:rsidR="00EE1F0A" w:rsidRPr="00A14357" w:rsidRDefault="00EE1F0A" w:rsidP="00A14357">
      <w:pPr>
        <w:pStyle w:val="FootnoteText"/>
        <w:ind w:left="284" w:hanging="284"/>
      </w:pPr>
      <w:r w:rsidRPr="00A14357">
        <w:rPr>
          <w:rStyle w:val="FootnoteReference"/>
        </w:rPr>
        <w:footnoteRef/>
      </w:r>
      <w:r w:rsidR="00412BD4">
        <w:tab/>
      </w:r>
      <w:hyperlink r:id="rId66" w:history="1">
        <w:r w:rsidR="00412BD4" w:rsidRPr="007E5DFC">
          <w:rPr>
            <w:rStyle w:val="Hyperlink"/>
          </w:rPr>
          <w:t>http://www.knpd.org/pubs/pdf/Research%20Report%20Pt%202%20Analysis%20Tables.pdf</w:t>
        </w:r>
      </w:hyperlink>
      <w:r w:rsidRPr="00A14357">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8FE29B" w14:textId="7B216176" w:rsidR="00EE1F0A" w:rsidRDefault="00EE1F0A" w:rsidP="00AF323E">
    <w:r>
      <w:rPr>
        <w:noProof/>
        <w:lang w:eastAsia="zh-CN"/>
      </w:rPr>
      <mc:AlternateContent>
        <mc:Choice Requires="wps">
          <w:drawing>
            <wp:anchor distT="0" distB="0" distL="114300" distR="114300" simplePos="0" relativeHeight="251657728" behindDoc="0" locked="0" layoutInCell="1" allowOverlap="1" wp14:anchorId="3008F0B0" wp14:editId="0639500C">
              <wp:simplePos x="0" y="0"/>
              <wp:positionH relativeFrom="column">
                <wp:posOffset>0</wp:posOffset>
              </wp:positionH>
              <wp:positionV relativeFrom="paragraph">
                <wp:posOffset>226060</wp:posOffset>
              </wp:positionV>
              <wp:extent cx="5724525" cy="352425"/>
              <wp:effectExtent l="0" t="0" r="0" b="9525"/>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352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28680A" w14:textId="136F6C94" w:rsidR="00EE1F0A" w:rsidRDefault="00EE1F0A" w:rsidP="00895667">
                          <w:pPr>
                            <w:jc w:val="center"/>
                            <w:rPr>
                              <w:sz w:val="16"/>
                              <w:lang w:eastAsia="fr-FR"/>
                            </w:rPr>
                          </w:pPr>
                          <w:r w:rsidRPr="00F46384">
                            <w:rPr>
                              <w:sz w:val="16"/>
                              <w:lang w:eastAsia="fr-FR"/>
                            </w:rPr>
                            <w:t>European Semester 201</w:t>
                          </w:r>
                          <w:r>
                            <w:rPr>
                              <w:sz w:val="16"/>
                              <w:lang w:eastAsia="fr-FR"/>
                            </w:rPr>
                            <w:t>8</w:t>
                          </w:r>
                          <w:r w:rsidRPr="00F46384">
                            <w:rPr>
                              <w:sz w:val="16"/>
                              <w:lang w:eastAsia="fr-FR"/>
                            </w:rPr>
                            <w:t>/201</w:t>
                          </w:r>
                          <w:r>
                            <w:rPr>
                              <w:sz w:val="16"/>
                              <w:lang w:eastAsia="fr-FR"/>
                            </w:rPr>
                            <w:t>9</w:t>
                          </w:r>
                          <w:r w:rsidRPr="00F46384">
                            <w:rPr>
                              <w:sz w:val="16"/>
                              <w:lang w:eastAsia="fr-FR"/>
                            </w:rPr>
                            <w:t xml:space="preserve"> country fiche on disability</w:t>
                          </w:r>
                        </w:p>
                        <w:p w14:paraId="34A51AFF" w14:textId="4EF1DBB0" w:rsidR="00EE1F0A" w:rsidRPr="00ED6A68" w:rsidRDefault="002C6495" w:rsidP="00895667">
                          <w:pPr>
                            <w:jc w:val="center"/>
                            <w:rPr>
                              <w:sz w:val="16"/>
                              <w:szCs w:val="16"/>
                            </w:rPr>
                          </w:pPr>
                          <w:r>
                            <w:rPr>
                              <w:noProof/>
                              <w:sz w:val="16"/>
                              <w:szCs w:val="16"/>
                            </w:rPr>
                            <w:pict w14:anchorId="75BE0FE9">
                              <v:rect id="_x0000_i1026" alt="" style="width:224pt;height:.05pt;mso-width-percent:0;mso-height-percent:0;mso-width-percent:0;mso-height-percent:0" o:hralign="center" o:hrstd="t" o:hr="t" fillcolor="#a0a0a0" stroked="f"/>
                            </w:pic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08F0B0" id="_x0000_t202" coordsize="21600,21600" o:spt="202" path="m,l,21600r21600,l21600,xe">
              <v:stroke joinstyle="miter"/>
              <v:path gradientshapeok="t" o:connecttype="rect"/>
            </v:shapetype>
            <v:shape id="Text Box 21" o:spid="_x0000_s1026" type="#_x0000_t202" style="position:absolute;margin-left:0;margin-top:17.8pt;width:450.75pt;height:27.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KOyswIAALsFAAAOAAAAZHJzL2Uyb0RvYy54bWysVNtu2zAMfR+wfxD07vhS5WKjTtHE8TCg&#10;uwDtPkCx5ViYLXmSErsb9u+j5CRNWwwYtvlBkCjqkIc85vXN0DbowJTmUqQ4nAQYMVHIkotdir88&#10;5N4CI22oKGkjBUvxI9P4Zvn2zXXfJSyStWxKphCACJ30XYprY7rE93VRs5bqieyYgMtKqpYaOKqd&#10;XyraA3rb+FEQzPxeqrJTsmBagzUbL/HS4VcVK8ynqtLMoCbFkJtxq3Lr1q7+8pomO0W7mhfHNOhf&#10;ZNFSLiDoGSqjhqK94q+gWl4oqWVlJoVsfVlVvGCOA7AJgxds7mvaMccFiqO7c5n0/4MtPh4+K8TL&#10;FEchRoK20KMHNhi0kgMCE9Sn73QCbvcdOJoB7NBnx1V3d7L4qpGQ65qKHbtVSvY1oyXk5176F09H&#10;HG1Btv0HWUIcujfSAQ2Vam3xoBwI0KFPj+fe2FwKME7nEZlGU4wKuLuaRgT2kJxPk9PrTmnzjskW&#10;2U2KFfTeodPDnTaj68nFBhMy503j+t+IZwbAHC0QG57aO5uFa+ePOIg3i82CeCSabTwSZJl3m6+J&#10;N8vD+TS7ytbrLPxp44YkqXlZMmHDnKQVkj9r3VHkoyjO4tKy4aWFsylptduuG4UOFKSdu+9YkAs3&#10;/3karl7A5QWlMCLBKoq9fLaYeyQnUy+eBwsvCONVPAtITLL8OaU7Lti/U0J9imPbU0fnt9wC973m&#10;RpOWGxgeDW9TvDg70cRKcCNK11pDeTPuL0ph038qBbT71GgnWKvRUa1m2A6AYlW8leUjSFdJUBbo&#10;EyYebGqpvmPUw/RIsf62p4ph1LwXIP84JMSOG3cgoF04qMub7eUNFQVApdhgNG7XZhxR+07xXQ2R&#10;xh9OyFv4ZSru1PyUFVCxB5gQjtRxmtkRdHl2Xk8zd/kLAAD//wMAUEsDBBQABgAIAAAAIQCwjI62&#10;2wAAAAYBAAAPAAAAZHJzL2Rvd25yZXYueG1sTI/BTsMwEETvSPyDtUjcqB0gVRviVAjEFUSBSty2&#10;8TaJiNdR7Dbh71lOcNvRjGbelpvZ9+pEY+wCW8gWBhRxHVzHjYX3t6erFaiYkB32gcnCN0XYVOdn&#10;JRYuTPxKp21qlJRwLNBCm9JQaB3rljzGRRiIxTuE0WMSOTbajThJue/1tTFL7bFjWWhxoIeW6q/t&#10;0Vv4eD587m7NS/Po82EKs9Hs19ray4v5/g5Uojn9heEXX9ChEqZ9OLKLqrcgjyQLN/kSlLhrk+Wg&#10;9nJkGeiq1P/xqx8AAAD//wMAUEsBAi0AFAAGAAgAAAAhALaDOJL+AAAA4QEAABMAAAAAAAAAAAAA&#10;AAAAAAAAAFtDb250ZW50X1R5cGVzXS54bWxQSwECLQAUAAYACAAAACEAOP0h/9YAAACUAQAACwAA&#10;AAAAAAAAAAAAAAAvAQAAX3JlbHMvLnJlbHNQSwECLQAUAAYACAAAACEAGyCjsrMCAAC7BQAADgAA&#10;AAAAAAAAAAAAAAAuAgAAZHJzL2Uyb0RvYy54bWxQSwECLQAUAAYACAAAACEAsIyOttsAAAAGAQAA&#10;DwAAAAAAAAAAAAAAAAANBQAAZHJzL2Rvd25yZXYueG1sUEsFBgAAAAAEAAQA8wAAABUGAAAAAA==&#10;" filled="f" stroked="f">
              <v:textbox>
                <w:txbxContent>
                  <w:p w14:paraId="5928680A" w14:textId="136F6C94" w:rsidR="00EE1F0A" w:rsidRDefault="00EE1F0A" w:rsidP="00895667">
                    <w:pPr>
                      <w:jc w:val="center"/>
                      <w:rPr>
                        <w:sz w:val="16"/>
                        <w:lang w:eastAsia="fr-FR"/>
                      </w:rPr>
                    </w:pPr>
                    <w:r w:rsidRPr="00F46384">
                      <w:rPr>
                        <w:sz w:val="16"/>
                        <w:lang w:eastAsia="fr-FR"/>
                      </w:rPr>
                      <w:t>European Semester 201</w:t>
                    </w:r>
                    <w:r>
                      <w:rPr>
                        <w:sz w:val="16"/>
                        <w:lang w:eastAsia="fr-FR"/>
                      </w:rPr>
                      <w:t>8</w:t>
                    </w:r>
                    <w:r w:rsidRPr="00F46384">
                      <w:rPr>
                        <w:sz w:val="16"/>
                        <w:lang w:eastAsia="fr-FR"/>
                      </w:rPr>
                      <w:t>/201</w:t>
                    </w:r>
                    <w:r>
                      <w:rPr>
                        <w:sz w:val="16"/>
                        <w:lang w:eastAsia="fr-FR"/>
                      </w:rPr>
                      <w:t>9</w:t>
                    </w:r>
                    <w:r w:rsidRPr="00F46384">
                      <w:rPr>
                        <w:sz w:val="16"/>
                        <w:lang w:eastAsia="fr-FR"/>
                      </w:rPr>
                      <w:t xml:space="preserve"> country fiche on disability</w:t>
                    </w:r>
                  </w:p>
                  <w:p w14:paraId="34A51AFF" w14:textId="4EF1DBB0" w:rsidR="00EE1F0A" w:rsidRPr="00ED6A68" w:rsidRDefault="002C6495" w:rsidP="00895667">
                    <w:pPr>
                      <w:jc w:val="center"/>
                      <w:rPr>
                        <w:sz w:val="16"/>
                        <w:szCs w:val="16"/>
                      </w:rPr>
                    </w:pPr>
                    <w:r>
                      <w:rPr>
                        <w:noProof/>
                        <w:sz w:val="16"/>
                        <w:szCs w:val="16"/>
                      </w:rPr>
                      <w:pict w14:anchorId="75BE0FE9">
                        <v:rect id="_x0000_i1026" alt="" style="width:224pt;height:.05pt;mso-width-percent:0;mso-height-percent:0;mso-width-percent:0;mso-height-percent:0" o:hralign="center" o:hrstd="t" o:hr="t" fillcolor="#a0a0a0" stroked="f"/>
                      </w:pic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15E78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6964D3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0D2C58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FFE02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A20344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02CF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F1093F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426A54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CCD14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5502A5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80B44B7"/>
    <w:multiLevelType w:val="hybridMultilevel"/>
    <w:tmpl w:val="E132BE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0AE765FB"/>
    <w:multiLevelType w:val="hybridMultilevel"/>
    <w:tmpl w:val="C02CCB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0E3E1896"/>
    <w:multiLevelType w:val="hybridMultilevel"/>
    <w:tmpl w:val="B2563F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BBC31D3"/>
    <w:multiLevelType w:val="multilevel"/>
    <w:tmpl w:val="2F7C264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1E08407B"/>
    <w:multiLevelType w:val="hybridMultilevel"/>
    <w:tmpl w:val="028AA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0E11A50"/>
    <w:multiLevelType w:val="hybridMultilevel"/>
    <w:tmpl w:val="277ACA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5B67333"/>
    <w:multiLevelType w:val="hybridMultilevel"/>
    <w:tmpl w:val="85E672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71756CC"/>
    <w:multiLevelType w:val="hybridMultilevel"/>
    <w:tmpl w:val="E32E16E8"/>
    <w:lvl w:ilvl="0" w:tplc="67C8D124">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74F2A3C"/>
    <w:multiLevelType w:val="hybridMultilevel"/>
    <w:tmpl w:val="ED0C83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29C825C9"/>
    <w:multiLevelType w:val="hybridMultilevel"/>
    <w:tmpl w:val="8EF610EE"/>
    <w:lvl w:ilvl="0" w:tplc="E984129A">
      <w:start w:val="73"/>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D1B2272"/>
    <w:multiLevelType w:val="multilevel"/>
    <w:tmpl w:val="9F2AA074"/>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1" w15:restartNumberingAfterBreak="0">
    <w:nsid w:val="3A790216"/>
    <w:multiLevelType w:val="hybridMultilevel"/>
    <w:tmpl w:val="609CBE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B915AAF"/>
    <w:multiLevelType w:val="hybridMultilevel"/>
    <w:tmpl w:val="4AA408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3D1A4619"/>
    <w:multiLevelType w:val="multilevel"/>
    <w:tmpl w:val="54AA967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4" w15:restartNumberingAfterBreak="0">
    <w:nsid w:val="3ECC6431"/>
    <w:multiLevelType w:val="hybridMultilevel"/>
    <w:tmpl w:val="E5CC41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34B5B8A"/>
    <w:multiLevelType w:val="hybridMultilevel"/>
    <w:tmpl w:val="67688F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EF13E8A"/>
    <w:multiLevelType w:val="hybridMultilevel"/>
    <w:tmpl w:val="C456B474"/>
    <w:lvl w:ilvl="0" w:tplc="04130003">
      <w:start w:val="1"/>
      <w:numFmt w:val="bullet"/>
      <w:lvlText w:val="o"/>
      <w:lvlJc w:val="left"/>
      <w:pPr>
        <w:ind w:left="1571" w:hanging="360"/>
      </w:pPr>
      <w:rPr>
        <w:rFonts w:ascii="Courier New" w:hAnsi="Courier New" w:cs="Courier New" w:hint="default"/>
      </w:rPr>
    </w:lvl>
    <w:lvl w:ilvl="1" w:tplc="04130003" w:tentative="1">
      <w:start w:val="1"/>
      <w:numFmt w:val="bullet"/>
      <w:lvlText w:val="o"/>
      <w:lvlJc w:val="left"/>
      <w:pPr>
        <w:ind w:left="2291" w:hanging="360"/>
      </w:pPr>
      <w:rPr>
        <w:rFonts w:ascii="Courier New" w:hAnsi="Courier New" w:cs="Courier New" w:hint="default"/>
      </w:rPr>
    </w:lvl>
    <w:lvl w:ilvl="2" w:tplc="04130005" w:tentative="1">
      <w:start w:val="1"/>
      <w:numFmt w:val="bullet"/>
      <w:lvlText w:val=""/>
      <w:lvlJc w:val="left"/>
      <w:pPr>
        <w:ind w:left="3011" w:hanging="360"/>
      </w:pPr>
      <w:rPr>
        <w:rFonts w:ascii="Wingdings" w:hAnsi="Wingdings" w:hint="default"/>
      </w:rPr>
    </w:lvl>
    <w:lvl w:ilvl="3" w:tplc="04130001" w:tentative="1">
      <w:start w:val="1"/>
      <w:numFmt w:val="bullet"/>
      <w:lvlText w:val=""/>
      <w:lvlJc w:val="left"/>
      <w:pPr>
        <w:ind w:left="3731" w:hanging="360"/>
      </w:pPr>
      <w:rPr>
        <w:rFonts w:ascii="Symbol" w:hAnsi="Symbol" w:hint="default"/>
      </w:rPr>
    </w:lvl>
    <w:lvl w:ilvl="4" w:tplc="04130003" w:tentative="1">
      <w:start w:val="1"/>
      <w:numFmt w:val="bullet"/>
      <w:lvlText w:val="o"/>
      <w:lvlJc w:val="left"/>
      <w:pPr>
        <w:ind w:left="4451" w:hanging="360"/>
      </w:pPr>
      <w:rPr>
        <w:rFonts w:ascii="Courier New" w:hAnsi="Courier New" w:cs="Courier New" w:hint="default"/>
      </w:rPr>
    </w:lvl>
    <w:lvl w:ilvl="5" w:tplc="04130005" w:tentative="1">
      <w:start w:val="1"/>
      <w:numFmt w:val="bullet"/>
      <w:lvlText w:val=""/>
      <w:lvlJc w:val="left"/>
      <w:pPr>
        <w:ind w:left="5171" w:hanging="360"/>
      </w:pPr>
      <w:rPr>
        <w:rFonts w:ascii="Wingdings" w:hAnsi="Wingdings" w:hint="default"/>
      </w:rPr>
    </w:lvl>
    <w:lvl w:ilvl="6" w:tplc="04130001" w:tentative="1">
      <w:start w:val="1"/>
      <w:numFmt w:val="bullet"/>
      <w:lvlText w:val=""/>
      <w:lvlJc w:val="left"/>
      <w:pPr>
        <w:ind w:left="5891" w:hanging="360"/>
      </w:pPr>
      <w:rPr>
        <w:rFonts w:ascii="Symbol" w:hAnsi="Symbol" w:hint="default"/>
      </w:rPr>
    </w:lvl>
    <w:lvl w:ilvl="7" w:tplc="04130003" w:tentative="1">
      <w:start w:val="1"/>
      <w:numFmt w:val="bullet"/>
      <w:lvlText w:val="o"/>
      <w:lvlJc w:val="left"/>
      <w:pPr>
        <w:ind w:left="6611" w:hanging="360"/>
      </w:pPr>
      <w:rPr>
        <w:rFonts w:ascii="Courier New" w:hAnsi="Courier New" w:cs="Courier New" w:hint="default"/>
      </w:rPr>
    </w:lvl>
    <w:lvl w:ilvl="8" w:tplc="04130005" w:tentative="1">
      <w:start w:val="1"/>
      <w:numFmt w:val="bullet"/>
      <w:lvlText w:val=""/>
      <w:lvlJc w:val="left"/>
      <w:pPr>
        <w:ind w:left="7331" w:hanging="360"/>
      </w:pPr>
      <w:rPr>
        <w:rFonts w:ascii="Wingdings" w:hAnsi="Wingdings" w:hint="default"/>
      </w:rPr>
    </w:lvl>
  </w:abstractNum>
  <w:abstractNum w:abstractNumId="27" w15:restartNumberingAfterBreak="0">
    <w:nsid w:val="52C2349D"/>
    <w:multiLevelType w:val="hybridMultilevel"/>
    <w:tmpl w:val="1F4E49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5DD38C5"/>
    <w:multiLevelType w:val="hybridMultilevel"/>
    <w:tmpl w:val="2F202AEC"/>
    <w:lvl w:ilvl="0" w:tplc="16F658C6">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5E16F29"/>
    <w:multiLevelType w:val="hybridMultilevel"/>
    <w:tmpl w:val="9EF6DD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8947D7B"/>
    <w:multiLevelType w:val="hybridMultilevel"/>
    <w:tmpl w:val="7958C106"/>
    <w:lvl w:ilvl="0" w:tplc="E984129A">
      <w:start w:val="73"/>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5CCE0B94"/>
    <w:multiLevelType w:val="multilevel"/>
    <w:tmpl w:val="12E42466"/>
    <w:numStyleLink w:val="Style1"/>
  </w:abstractNum>
  <w:abstractNum w:abstractNumId="32" w15:restartNumberingAfterBreak="0">
    <w:nsid w:val="5EE71126"/>
    <w:multiLevelType w:val="hybridMultilevel"/>
    <w:tmpl w:val="1F3EE9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0E50CF0"/>
    <w:multiLevelType w:val="hybridMultilevel"/>
    <w:tmpl w:val="2B5CB3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1A54ABC"/>
    <w:multiLevelType w:val="hybridMultilevel"/>
    <w:tmpl w:val="8D08EE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7CF4E94"/>
    <w:multiLevelType w:val="hybridMultilevel"/>
    <w:tmpl w:val="4014C84A"/>
    <w:lvl w:ilvl="0" w:tplc="34E49B1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2BF6590"/>
    <w:multiLevelType w:val="hybridMultilevel"/>
    <w:tmpl w:val="0EEE3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5BE5A8E"/>
    <w:multiLevelType w:val="multilevel"/>
    <w:tmpl w:val="12E42466"/>
    <w:styleLink w:val="Style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8" w15:restartNumberingAfterBreak="0">
    <w:nsid w:val="7A53138F"/>
    <w:multiLevelType w:val="hybridMultilevel"/>
    <w:tmpl w:val="0BF2B438"/>
    <w:lvl w:ilvl="0" w:tplc="70501B5C">
      <w:start w:val="100"/>
      <w:numFmt w:val="bullet"/>
      <w:lvlText w:val="-"/>
      <w:lvlJc w:val="left"/>
      <w:pPr>
        <w:ind w:left="720" w:hanging="360"/>
      </w:pPr>
      <w:rPr>
        <w:rFonts w:ascii="Arial" w:eastAsia="Arial Unicode MS"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BD73905"/>
    <w:multiLevelType w:val="hybridMultilevel"/>
    <w:tmpl w:val="04941DB4"/>
    <w:lvl w:ilvl="0" w:tplc="08090001">
      <w:start w:val="1"/>
      <w:numFmt w:val="bullet"/>
      <w:lvlText w:val=""/>
      <w:lvlJc w:val="left"/>
      <w:pPr>
        <w:tabs>
          <w:tab w:val="num" w:pos="360"/>
        </w:tabs>
        <w:ind w:left="360" w:hanging="360"/>
      </w:pPr>
      <w:rPr>
        <w:rFonts w:ascii="Symbol" w:hAnsi="Symbol" w:hint="default"/>
      </w:rPr>
    </w:lvl>
    <w:lvl w:ilvl="1" w:tplc="0C742E8A">
      <w:start w:val="1"/>
      <w:numFmt w:val="bullet"/>
      <w:lvlText w:val="-"/>
      <w:lvlJc w:val="left"/>
      <w:pPr>
        <w:tabs>
          <w:tab w:val="num" w:pos="1080"/>
        </w:tabs>
        <w:ind w:left="1080" w:hanging="360"/>
      </w:pPr>
      <w:rPr>
        <w:rFonts w:ascii="Tahoma" w:eastAsia="Times New Roman" w:hAnsi="Tahoma" w:cs="Tahoma"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7DB72B0B"/>
    <w:multiLevelType w:val="hybridMultilevel"/>
    <w:tmpl w:val="FA0EA2AE"/>
    <w:lvl w:ilvl="0" w:tplc="E984129A">
      <w:start w:val="73"/>
      <w:numFmt w:val="bullet"/>
      <w:lvlText w:val="-"/>
      <w:lvlJc w:val="left"/>
      <w:pPr>
        <w:tabs>
          <w:tab w:val="num" w:pos="720"/>
        </w:tabs>
        <w:ind w:left="720" w:hanging="360"/>
      </w:pPr>
      <w:rPr>
        <w:rFonts w:ascii="Arial" w:eastAsiaTheme="minorHAnsi" w:hAnsi="Arial" w:cs="Aria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DDA6824"/>
    <w:multiLevelType w:val="hybridMultilevel"/>
    <w:tmpl w:val="F3800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31"/>
  </w:num>
  <w:num w:numId="12">
    <w:abstractNumId w:val="37"/>
  </w:num>
  <w:num w:numId="13">
    <w:abstractNumId w:val="27"/>
  </w:num>
  <w:num w:numId="14">
    <w:abstractNumId w:val="39"/>
  </w:num>
  <w:num w:numId="15">
    <w:abstractNumId w:val="11"/>
  </w:num>
  <w:num w:numId="16">
    <w:abstractNumId w:val="15"/>
  </w:num>
  <w:num w:numId="17">
    <w:abstractNumId w:val="22"/>
  </w:num>
  <w:num w:numId="18">
    <w:abstractNumId w:val="18"/>
  </w:num>
  <w:num w:numId="19">
    <w:abstractNumId w:val="24"/>
  </w:num>
  <w:num w:numId="20">
    <w:abstractNumId w:val="23"/>
  </w:num>
  <w:num w:numId="21">
    <w:abstractNumId w:val="17"/>
  </w:num>
  <w:num w:numId="22">
    <w:abstractNumId w:val="28"/>
  </w:num>
  <w:num w:numId="23">
    <w:abstractNumId w:val="13"/>
  </w:num>
  <w:num w:numId="24">
    <w:abstractNumId w:val="12"/>
  </w:num>
  <w:num w:numId="25">
    <w:abstractNumId w:val="21"/>
  </w:num>
  <w:num w:numId="26">
    <w:abstractNumId w:val="34"/>
  </w:num>
  <w:num w:numId="27">
    <w:abstractNumId w:val="20"/>
  </w:num>
  <w:num w:numId="28">
    <w:abstractNumId w:val="32"/>
  </w:num>
  <w:num w:numId="29">
    <w:abstractNumId w:val="14"/>
  </w:num>
  <w:num w:numId="30">
    <w:abstractNumId w:val="36"/>
  </w:num>
  <w:num w:numId="31">
    <w:abstractNumId w:val="35"/>
  </w:num>
  <w:num w:numId="32">
    <w:abstractNumId w:val="38"/>
  </w:num>
  <w:num w:numId="33">
    <w:abstractNumId w:val="30"/>
  </w:num>
  <w:num w:numId="34">
    <w:abstractNumId w:val="25"/>
  </w:num>
  <w:num w:numId="35">
    <w:abstractNumId w:val="40"/>
  </w:num>
  <w:num w:numId="36">
    <w:abstractNumId w:val="29"/>
  </w:num>
  <w:num w:numId="37">
    <w:abstractNumId w:val="19"/>
  </w:num>
  <w:num w:numId="38">
    <w:abstractNumId w:val="41"/>
  </w:num>
  <w:num w:numId="39">
    <w:abstractNumId w:val="10"/>
  </w:num>
  <w:num w:numId="40">
    <w:abstractNumId w:val="16"/>
  </w:num>
  <w:num w:numId="41">
    <w:abstractNumId w:val="33"/>
  </w:num>
  <w:num w:numId="4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720"/>
  <w:hyphenationZone w:val="425"/>
  <w:characterSpacingControl w:val="doNotCompress"/>
  <w:hdrShapeDefaults>
    <o:shapedefaults v:ext="edit" spidmax="10242"/>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92101"/>
    <w:rsid w:val="00003206"/>
    <w:rsid w:val="00004518"/>
    <w:rsid w:val="00005D28"/>
    <w:rsid w:val="000064AF"/>
    <w:rsid w:val="00006794"/>
    <w:rsid w:val="00007DA8"/>
    <w:rsid w:val="00010FC7"/>
    <w:rsid w:val="0001153C"/>
    <w:rsid w:val="00011B4F"/>
    <w:rsid w:val="00013744"/>
    <w:rsid w:val="0001374E"/>
    <w:rsid w:val="000159A6"/>
    <w:rsid w:val="0002176B"/>
    <w:rsid w:val="00022749"/>
    <w:rsid w:val="00022EFF"/>
    <w:rsid w:val="000322FE"/>
    <w:rsid w:val="00033003"/>
    <w:rsid w:val="000336BD"/>
    <w:rsid w:val="00040141"/>
    <w:rsid w:val="0004167C"/>
    <w:rsid w:val="00044E73"/>
    <w:rsid w:val="00046621"/>
    <w:rsid w:val="00046FC7"/>
    <w:rsid w:val="000471CE"/>
    <w:rsid w:val="00051B99"/>
    <w:rsid w:val="000547CB"/>
    <w:rsid w:val="0005498D"/>
    <w:rsid w:val="00055746"/>
    <w:rsid w:val="00065154"/>
    <w:rsid w:val="0006610C"/>
    <w:rsid w:val="00066A6E"/>
    <w:rsid w:val="00075986"/>
    <w:rsid w:val="00077C2C"/>
    <w:rsid w:val="00080380"/>
    <w:rsid w:val="00080B09"/>
    <w:rsid w:val="00082E6D"/>
    <w:rsid w:val="00083027"/>
    <w:rsid w:val="00084AB1"/>
    <w:rsid w:val="000855C3"/>
    <w:rsid w:val="00085CDF"/>
    <w:rsid w:val="0008666E"/>
    <w:rsid w:val="00087EB5"/>
    <w:rsid w:val="0009265B"/>
    <w:rsid w:val="00092B8F"/>
    <w:rsid w:val="00094EF9"/>
    <w:rsid w:val="00095BE3"/>
    <w:rsid w:val="00096F1E"/>
    <w:rsid w:val="000A2913"/>
    <w:rsid w:val="000A395C"/>
    <w:rsid w:val="000A4DB0"/>
    <w:rsid w:val="000A5368"/>
    <w:rsid w:val="000B08B2"/>
    <w:rsid w:val="000B0DBF"/>
    <w:rsid w:val="000B108F"/>
    <w:rsid w:val="000B13C0"/>
    <w:rsid w:val="000B287D"/>
    <w:rsid w:val="000B3B0B"/>
    <w:rsid w:val="000B5836"/>
    <w:rsid w:val="000C24F8"/>
    <w:rsid w:val="000C480D"/>
    <w:rsid w:val="000D13A6"/>
    <w:rsid w:val="000D320A"/>
    <w:rsid w:val="000D49CC"/>
    <w:rsid w:val="000E016C"/>
    <w:rsid w:val="000E094C"/>
    <w:rsid w:val="000E1DB0"/>
    <w:rsid w:val="000E4C27"/>
    <w:rsid w:val="000E59E4"/>
    <w:rsid w:val="000E5B4D"/>
    <w:rsid w:val="000E7982"/>
    <w:rsid w:val="000F0AB3"/>
    <w:rsid w:val="000F14BA"/>
    <w:rsid w:val="000F47C4"/>
    <w:rsid w:val="000F657B"/>
    <w:rsid w:val="0010027A"/>
    <w:rsid w:val="00100CCC"/>
    <w:rsid w:val="0010423F"/>
    <w:rsid w:val="00111BDD"/>
    <w:rsid w:val="00112F7C"/>
    <w:rsid w:val="00113135"/>
    <w:rsid w:val="001146D4"/>
    <w:rsid w:val="00117547"/>
    <w:rsid w:val="0011794E"/>
    <w:rsid w:val="00126E3A"/>
    <w:rsid w:val="0012748D"/>
    <w:rsid w:val="0013277C"/>
    <w:rsid w:val="001329A1"/>
    <w:rsid w:val="001335A3"/>
    <w:rsid w:val="001341CA"/>
    <w:rsid w:val="00134A13"/>
    <w:rsid w:val="00141174"/>
    <w:rsid w:val="001449AD"/>
    <w:rsid w:val="00146B02"/>
    <w:rsid w:val="00147BF5"/>
    <w:rsid w:val="00152AB3"/>
    <w:rsid w:val="00152FE0"/>
    <w:rsid w:val="001533EC"/>
    <w:rsid w:val="001536DA"/>
    <w:rsid w:val="00155D13"/>
    <w:rsid w:val="001601AB"/>
    <w:rsid w:val="001602BF"/>
    <w:rsid w:val="00161D26"/>
    <w:rsid w:val="00162433"/>
    <w:rsid w:val="00163AA4"/>
    <w:rsid w:val="001669A5"/>
    <w:rsid w:val="00167609"/>
    <w:rsid w:val="00167C77"/>
    <w:rsid w:val="00167EFD"/>
    <w:rsid w:val="00172D74"/>
    <w:rsid w:val="00172F55"/>
    <w:rsid w:val="0017323B"/>
    <w:rsid w:val="00176593"/>
    <w:rsid w:val="001828CD"/>
    <w:rsid w:val="00183BDA"/>
    <w:rsid w:val="00184494"/>
    <w:rsid w:val="001851FF"/>
    <w:rsid w:val="00192674"/>
    <w:rsid w:val="00195964"/>
    <w:rsid w:val="001A05A9"/>
    <w:rsid w:val="001A59C8"/>
    <w:rsid w:val="001A783D"/>
    <w:rsid w:val="001B13C3"/>
    <w:rsid w:val="001B6F82"/>
    <w:rsid w:val="001C2F45"/>
    <w:rsid w:val="001C42C7"/>
    <w:rsid w:val="001C5B04"/>
    <w:rsid w:val="001C6970"/>
    <w:rsid w:val="001D2AA2"/>
    <w:rsid w:val="001D361D"/>
    <w:rsid w:val="001D41E6"/>
    <w:rsid w:val="001D44E9"/>
    <w:rsid w:val="001D5277"/>
    <w:rsid w:val="001D69FC"/>
    <w:rsid w:val="001E02E4"/>
    <w:rsid w:val="001E1C6F"/>
    <w:rsid w:val="001E4166"/>
    <w:rsid w:val="001F1183"/>
    <w:rsid w:val="001F166D"/>
    <w:rsid w:val="001F5FE1"/>
    <w:rsid w:val="001F6793"/>
    <w:rsid w:val="001F6CDE"/>
    <w:rsid w:val="00206BED"/>
    <w:rsid w:val="00212FDF"/>
    <w:rsid w:val="00215C5B"/>
    <w:rsid w:val="00217FB2"/>
    <w:rsid w:val="00222716"/>
    <w:rsid w:val="0022347B"/>
    <w:rsid w:val="00226093"/>
    <w:rsid w:val="002349EE"/>
    <w:rsid w:val="002357D4"/>
    <w:rsid w:val="00237443"/>
    <w:rsid w:val="00240624"/>
    <w:rsid w:val="00240C3C"/>
    <w:rsid w:val="00240E6E"/>
    <w:rsid w:val="00243C02"/>
    <w:rsid w:val="00244A16"/>
    <w:rsid w:val="00247433"/>
    <w:rsid w:val="00251D80"/>
    <w:rsid w:val="00252DB6"/>
    <w:rsid w:val="00254033"/>
    <w:rsid w:val="00263263"/>
    <w:rsid w:val="00265A49"/>
    <w:rsid w:val="00270C69"/>
    <w:rsid w:val="00273123"/>
    <w:rsid w:val="00273ED7"/>
    <w:rsid w:val="00286315"/>
    <w:rsid w:val="00291F88"/>
    <w:rsid w:val="00293518"/>
    <w:rsid w:val="002A237B"/>
    <w:rsid w:val="002A4301"/>
    <w:rsid w:val="002A6513"/>
    <w:rsid w:val="002A6E2E"/>
    <w:rsid w:val="002A6F1E"/>
    <w:rsid w:val="002A7357"/>
    <w:rsid w:val="002A7F69"/>
    <w:rsid w:val="002B12F0"/>
    <w:rsid w:val="002B1689"/>
    <w:rsid w:val="002C1042"/>
    <w:rsid w:val="002C1230"/>
    <w:rsid w:val="002C5A0C"/>
    <w:rsid w:val="002C6495"/>
    <w:rsid w:val="002C72FB"/>
    <w:rsid w:val="002D32DE"/>
    <w:rsid w:val="002D4A49"/>
    <w:rsid w:val="002E1CD6"/>
    <w:rsid w:val="002E269E"/>
    <w:rsid w:val="002E420B"/>
    <w:rsid w:val="002F455E"/>
    <w:rsid w:val="002F73BA"/>
    <w:rsid w:val="00302832"/>
    <w:rsid w:val="00305869"/>
    <w:rsid w:val="00310010"/>
    <w:rsid w:val="00311ABD"/>
    <w:rsid w:val="00312D1F"/>
    <w:rsid w:val="00313D06"/>
    <w:rsid w:val="0031523D"/>
    <w:rsid w:val="00322C30"/>
    <w:rsid w:val="00324C20"/>
    <w:rsid w:val="00330467"/>
    <w:rsid w:val="003327CE"/>
    <w:rsid w:val="00333385"/>
    <w:rsid w:val="003335B0"/>
    <w:rsid w:val="003400F1"/>
    <w:rsid w:val="00340B91"/>
    <w:rsid w:val="003429F0"/>
    <w:rsid w:val="00342D5F"/>
    <w:rsid w:val="00346FC5"/>
    <w:rsid w:val="00347494"/>
    <w:rsid w:val="00347D93"/>
    <w:rsid w:val="00347EDA"/>
    <w:rsid w:val="00350404"/>
    <w:rsid w:val="003544CB"/>
    <w:rsid w:val="0035459A"/>
    <w:rsid w:val="00357922"/>
    <w:rsid w:val="00362B4C"/>
    <w:rsid w:val="003637DD"/>
    <w:rsid w:val="00363805"/>
    <w:rsid w:val="00365193"/>
    <w:rsid w:val="00367337"/>
    <w:rsid w:val="00374482"/>
    <w:rsid w:val="00375373"/>
    <w:rsid w:val="003757DA"/>
    <w:rsid w:val="00377180"/>
    <w:rsid w:val="00381B30"/>
    <w:rsid w:val="003837D3"/>
    <w:rsid w:val="00385532"/>
    <w:rsid w:val="00385C0C"/>
    <w:rsid w:val="003A076C"/>
    <w:rsid w:val="003A26EF"/>
    <w:rsid w:val="003A36EA"/>
    <w:rsid w:val="003A3820"/>
    <w:rsid w:val="003B037B"/>
    <w:rsid w:val="003B0D02"/>
    <w:rsid w:val="003B1107"/>
    <w:rsid w:val="003B422F"/>
    <w:rsid w:val="003B59CF"/>
    <w:rsid w:val="003B5F65"/>
    <w:rsid w:val="003B7414"/>
    <w:rsid w:val="003C1103"/>
    <w:rsid w:val="003C593E"/>
    <w:rsid w:val="003C739E"/>
    <w:rsid w:val="003D3344"/>
    <w:rsid w:val="003D356C"/>
    <w:rsid w:val="003D5336"/>
    <w:rsid w:val="003D7AB4"/>
    <w:rsid w:val="003E00F8"/>
    <w:rsid w:val="003E23B0"/>
    <w:rsid w:val="003E24DC"/>
    <w:rsid w:val="003E3108"/>
    <w:rsid w:val="003E3252"/>
    <w:rsid w:val="003E601D"/>
    <w:rsid w:val="003E7EC1"/>
    <w:rsid w:val="003F195C"/>
    <w:rsid w:val="003F4379"/>
    <w:rsid w:val="003F446B"/>
    <w:rsid w:val="003F5C99"/>
    <w:rsid w:val="003F7AD2"/>
    <w:rsid w:val="004022FB"/>
    <w:rsid w:val="00404693"/>
    <w:rsid w:val="00411990"/>
    <w:rsid w:val="00411BB5"/>
    <w:rsid w:val="004124AF"/>
    <w:rsid w:val="00412BD4"/>
    <w:rsid w:val="00415058"/>
    <w:rsid w:val="00416060"/>
    <w:rsid w:val="00416AA0"/>
    <w:rsid w:val="004178DA"/>
    <w:rsid w:val="004210E4"/>
    <w:rsid w:val="004211D8"/>
    <w:rsid w:val="004216C8"/>
    <w:rsid w:val="004217C2"/>
    <w:rsid w:val="00421C24"/>
    <w:rsid w:val="00421E28"/>
    <w:rsid w:val="00422431"/>
    <w:rsid w:val="00423314"/>
    <w:rsid w:val="004268DD"/>
    <w:rsid w:val="00430879"/>
    <w:rsid w:val="00431571"/>
    <w:rsid w:val="00440118"/>
    <w:rsid w:val="00441B0F"/>
    <w:rsid w:val="00444CDB"/>
    <w:rsid w:val="00446D3A"/>
    <w:rsid w:val="004508F7"/>
    <w:rsid w:val="004515AA"/>
    <w:rsid w:val="004516A4"/>
    <w:rsid w:val="004516D5"/>
    <w:rsid w:val="00451EC6"/>
    <w:rsid w:val="00454339"/>
    <w:rsid w:val="00455E28"/>
    <w:rsid w:val="004606A1"/>
    <w:rsid w:val="00461215"/>
    <w:rsid w:val="00462A78"/>
    <w:rsid w:val="00463F06"/>
    <w:rsid w:val="00464D87"/>
    <w:rsid w:val="004714BF"/>
    <w:rsid w:val="004808BD"/>
    <w:rsid w:val="00480DCE"/>
    <w:rsid w:val="00481FFA"/>
    <w:rsid w:val="00484B6C"/>
    <w:rsid w:val="00485379"/>
    <w:rsid w:val="00486997"/>
    <w:rsid w:val="00492D8E"/>
    <w:rsid w:val="00492E45"/>
    <w:rsid w:val="00492E94"/>
    <w:rsid w:val="00495165"/>
    <w:rsid w:val="004952D6"/>
    <w:rsid w:val="00496B54"/>
    <w:rsid w:val="004974BB"/>
    <w:rsid w:val="004A1E71"/>
    <w:rsid w:val="004A4100"/>
    <w:rsid w:val="004A5162"/>
    <w:rsid w:val="004A6DE2"/>
    <w:rsid w:val="004B042F"/>
    <w:rsid w:val="004B35CE"/>
    <w:rsid w:val="004C06E7"/>
    <w:rsid w:val="004C7309"/>
    <w:rsid w:val="004D01C6"/>
    <w:rsid w:val="004D4C77"/>
    <w:rsid w:val="004D5C41"/>
    <w:rsid w:val="004E4BEC"/>
    <w:rsid w:val="004E5CCD"/>
    <w:rsid w:val="004F2290"/>
    <w:rsid w:val="004F36CD"/>
    <w:rsid w:val="004F4264"/>
    <w:rsid w:val="004F42B7"/>
    <w:rsid w:val="004F645C"/>
    <w:rsid w:val="004F76E0"/>
    <w:rsid w:val="00501094"/>
    <w:rsid w:val="0050241E"/>
    <w:rsid w:val="00503F97"/>
    <w:rsid w:val="0050532B"/>
    <w:rsid w:val="00505789"/>
    <w:rsid w:val="00506078"/>
    <w:rsid w:val="0050621E"/>
    <w:rsid w:val="00510F62"/>
    <w:rsid w:val="00512A18"/>
    <w:rsid w:val="00512FB4"/>
    <w:rsid w:val="00516AE6"/>
    <w:rsid w:val="005177CC"/>
    <w:rsid w:val="00522050"/>
    <w:rsid w:val="00525295"/>
    <w:rsid w:val="005258C8"/>
    <w:rsid w:val="00526839"/>
    <w:rsid w:val="00530D51"/>
    <w:rsid w:val="00531C65"/>
    <w:rsid w:val="00533528"/>
    <w:rsid w:val="00534847"/>
    <w:rsid w:val="00534975"/>
    <w:rsid w:val="00537876"/>
    <w:rsid w:val="00542A12"/>
    <w:rsid w:val="00542F9B"/>
    <w:rsid w:val="005441A0"/>
    <w:rsid w:val="005441A6"/>
    <w:rsid w:val="0054528C"/>
    <w:rsid w:val="0056052E"/>
    <w:rsid w:val="0056170C"/>
    <w:rsid w:val="00561FF5"/>
    <w:rsid w:val="0056264E"/>
    <w:rsid w:val="00571053"/>
    <w:rsid w:val="00573567"/>
    <w:rsid w:val="00574AF4"/>
    <w:rsid w:val="00575675"/>
    <w:rsid w:val="0057731B"/>
    <w:rsid w:val="005831C6"/>
    <w:rsid w:val="00587DAF"/>
    <w:rsid w:val="0059192D"/>
    <w:rsid w:val="0059415A"/>
    <w:rsid w:val="0059439E"/>
    <w:rsid w:val="005946E4"/>
    <w:rsid w:val="00594A9C"/>
    <w:rsid w:val="0059569F"/>
    <w:rsid w:val="00596EA7"/>
    <w:rsid w:val="00597A6F"/>
    <w:rsid w:val="005A3FC7"/>
    <w:rsid w:val="005A4F37"/>
    <w:rsid w:val="005B083B"/>
    <w:rsid w:val="005B0D14"/>
    <w:rsid w:val="005B341D"/>
    <w:rsid w:val="005B4557"/>
    <w:rsid w:val="005B7479"/>
    <w:rsid w:val="005C59DE"/>
    <w:rsid w:val="005C65DC"/>
    <w:rsid w:val="005C683D"/>
    <w:rsid w:val="005C75D8"/>
    <w:rsid w:val="005D2E05"/>
    <w:rsid w:val="005D3ECF"/>
    <w:rsid w:val="005D4A81"/>
    <w:rsid w:val="005E12D9"/>
    <w:rsid w:val="005E1C80"/>
    <w:rsid w:val="005E4C81"/>
    <w:rsid w:val="005E581C"/>
    <w:rsid w:val="005E7E11"/>
    <w:rsid w:val="005F10F2"/>
    <w:rsid w:val="005F15F1"/>
    <w:rsid w:val="005F4A51"/>
    <w:rsid w:val="005F5C3F"/>
    <w:rsid w:val="005F7E0C"/>
    <w:rsid w:val="0060156C"/>
    <w:rsid w:val="00603E95"/>
    <w:rsid w:val="006077EB"/>
    <w:rsid w:val="00607B92"/>
    <w:rsid w:val="00611B32"/>
    <w:rsid w:val="00620231"/>
    <w:rsid w:val="00620DA4"/>
    <w:rsid w:val="0062258D"/>
    <w:rsid w:val="006237F1"/>
    <w:rsid w:val="00623BA9"/>
    <w:rsid w:val="00623C88"/>
    <w:rsid w:val="006249B1"/>
    <w:rsid w:val="006258A6"/>
    <w:rsid w:val="00630200"/>
    <w:rsid w:val="006367CB"/>
    <w:rsid w:val="00637304"/>
    <w:rsid w:val="006422C8"/>
    <w:rsid w:val="0064269E"/>
    <w:rsid w:val="00643FC9"/>
    <w:rsid w:val="006452AB"/>
    <w:rsid w:val="006503F2"/>
    <w:rsid w:val="0065380E"/>
    <w:rsid w:val="00654D13"/>
    <w:rsid w:val="00660FB6"/>
    <w:rsid w:val="00662279"/>
    <w:rsid w:val="0066231F"/>
    <w:rsid w:val="0066278F"/>
    <w:rsid w:val="00664750"/>
    <w:rsid w:val="00664EFF"/>
    <w:rsid w:val="00664F81"/>
    <w:rsid w:val="00680417"/>
    <w:rsid w:val="00680D45"/>
    <w:rsid w:val="006818A0"/>
    <w:rsid w:val="00685AB4"/>
    <w:rsid w:val="006879DE"/>
    <w:rsid w:val="00692101"/>
    <w:rsid w:val="0069263C"/>
    <w:rsid w:val="00694558"/>
    <w:rsid w:val="00694F9D"/>
    <w:rsid w:val="00695DF6"/>
    <w:rsid w:val="006967A8"/>
    <w:rsid w:val="00696A74"/>
    <w:rsid w:val="006A5AA3"/>
    <w:rsid w:val="006A7583"/>
    <w:rsid w:val="006A76F7"/>
    <w:rsid w:val="006A770D"/>
    <w:rsid w:val="006B0344"/>
    <w:rsid w:val="006B1307"/>
    <w:rsid w:val="006B403C"/>
    <w:rsid w:val="006B61EE"/>
    <w:rsid w:val="006B7206"/>
    <w:rsid w:val="006C2CDE"/>
    <w:rsid w:val="006C4539"/>
    <w:rsid w:val="006D0FE8"/>
    <w:rsid w:val="006E3C9F"/>
    <w:rsid w:val="006E522E"/>
    <w:rsid w:val="006E7D08"/>
    <w:rsid w:val="006F163E"/>
    <w:rsid w:val="006F2E54"/>
    <w:rsid w:val="006F575E"/>
    <w:rsid w:val="007038A9"/>
    <w:rsid w:val="00705AD4"/>
    <w:rsid w:val="00707DE0"/>
    <w:rsid w:val="0071255D"/>
    <w:rsid w:val="007165A6"/>
    <w:rsid w:val="0071696A"/>
    <w:rsid w:val="00717277"/>
    <w:rsid w:val="007201AF"/>
    <w:rsid w:val="00721B0E"/>
    <w:rsid w:val="00721FC7"/>
    <w:rsid w:val="00722DE1"/>
    <w:rsid w:val="007302B5"/>
    <w:rsid w:val="0073106E"/>
    <w:rsid w:val="00735ACD"/>
    <w:rsid w:val="00735AF9"/>
    <w:rsid w:val="00735FD3"/>
    <w:rsid w:val="007360E6"/>
    <w:rsid w:val="00742967"/>
    <w:rsid w:val="00742AEB"/>
    <w:rsid w:val="00745FCB"/>
    <w:rsid w:val="00750C36"/>
    <w:rsid w:val="00753AEA"/>
    <w:rsid w:val="00755123"/>
    <w:rsid w:val="00755859"/>
    <w:rsid w:val="00755A21"/>
    <w:rsid w:val="00766A33"/>
    <w:rsid w:val="0076712C"/>
    <w:rsid w:val="007709C9"/>
    <w:rsid w:val="00773A63"/>
    <w:rsid w:val="007756B2"/>
    <w:rsid w:val="00777783"/>
    <w:rsid w:val="007804E3"/>
    <w:rsid w:val="00780579"/>
    <w:rsid w:val="007813DC"/>
    <w:rsid w:val="007824A5"/>
    <w:rsid w:val="0078310B"/>
    <w:rsid w:val="00787226"/>
    <w:rsid w:val="00795A88"/>
    <w:rsid w:val="007A2203"/>
    <w:rsid w:val="007A485F"/>
    <w:rsid w:val="007A6A53"/>
    <w:rsid w:val="007A6B3D"/>
    <w:rsid w:val="007A723D"/>
    <w:rsid w:val="007B35F6"/>
    <w:rsid w:val="007C572D"/>
    <w:rsid w:val="007C58A6"/>
    <w:rsid w:val="007D22DA"/>
    <w:rsid w:val="007D61D7"/>
    <w:rsid w:val="007D6A67"/>
    <w:rsid w:val="007D6F19"/>
    <w:rsid w:val="007E0CFF"/>
    <w:rsid w:val="007E2561"/>
    <w:rsid w:val="007E76D3"/>
    <w:rsid w:val="007F337E"/>
    <w:rsid w:val="007F7808"/>
    <w:rsid w:val="00802804"/>
    <w:rsid w:val="00803553"/>
    <w:rsid w:val="00803568"/>
    <w:rsid w:val="008047E3"/>
    <w:rsid w:val="00811513"/>
    <w:rsid w:val="00812303"/>
    <w:rsid w:val="00812684"/>
    <w:rsid w:val="00815736"/>
    <w:rsid w:val="00821396"/>
    <w:rsid w:val="0082288F"/>
    <w:rsid w:val="008306A5"/>
    <w:rsid w:val="00831141"/>
    <w:rsid w:val="00833A69"/>
    <w:rsid w:val="008341F2"/>
    <w:rsid w:val="00834272"/>
    <w:rsid w:val="008345FA"/>
    <w:rsid w:val="00837BCB"/>
    <w:rsid w:val="00842E2B"/>
    <w:rsid w:val="008437A7"/>
    <w:rsid w:val="00846480"/>
    <w:rsid w:val="008514A8"/>
    <w:rsid w:val="0085708A"/>
    <w:rsid w:val="0087337D"/>
    <w:rsid w:val="00873A47"/>
    <w:rsid w:val="00873D7B"/>
    <w:rsid w:val="0087761B"/>
    <w:rsid w:val="00880119"/>
    <w:rsid w:val="00880146"/>
    <w:rsid w:val="00885E4C"/>
    <w:rsid w:val="008909EE"/>
    <w:rsid w:val="00890E90"/>
    <w:rsid w:val="00891CBC"/>
    <w:rsid w:val="00895667"/>
    <w:rsid w:val="00895C19"/>
    <w:rsid w:val="008976C7"/>
    <w:rsid w:val="008A5AB7"/>
    <w:rsid w:val="008A6B63"/>
    <w:rsid w:val="008B0EFF"/>
    <w:rsid w:val="008B1A1D"/>
    <w:rsid w:val="008B3D37"/>
    <w:rsid w:val="008B52EC"/>
    <w:rsid w:val="008B61E8"/>
    <w:rsid w:val="008C27C2"/>
    <w:rsid w:val="008C3E9D"/>
    <w:rsid w:val="008C4117"/>
    <w:rsid w:val="008C4935"/>
    <w:rsid w:val="008C4FB6"/>
    <w:rsid w:val="008C5D1E"/>
    <w:rsid w:val="008C75EB"/>
    <w:rsid w:val="008D2A5F"/>
    <w:rsid w:val="008E099D"/>
    <w:rsid w:val="008E09B9"/>
    <w:rsid w:val="008E0E05"/>
    <w:rsid w:val="008E371C"/>
    <w:rsid w:val="008E4512"/>
    <w:rsid w:val="008E6B50"/>
    <w:rsid w:val="008E7827"/>
    <w:rsid w:val="008F17BD"/>
    <w:rsid w:val="008F1A72"/>
    <w:rsid w:val="008F1D9D"/>
    <w:rsid w:val="008F3F4E"/>
    <w:rsid w:val="008F75B5"/>
    <w:rsid w:val="009020CC"/>
    <w:rsid w:val="00903D3C"/>
    <w:rsid w:val="0090711E"/>
    <w:rsid w:val="0091059B"/>
    <w:rsid w:val="009123AA"/>
    <w:rsid w:val="009130F3"/>
    <w:rsid w:val="00914BFB"/>
    <w:rsid w:val="00914E5E"/>
    <w:rsid w:val="00915E6B"/>
    <w:rsid w:val="009212C1"/>
    <w:rsid w:val="00930117"/>
    <w:rsid w:val="009340EB"/>
    <w:rsid w:val="009344A1"/>
    <w:rsid w:val="00936866"/>
    <w:rsid w:val="009371E9"/>
    <w:rsid w:val="00937A0A"/>
    <w:rsid w:val="00941FF6"/>
    <w:rsid w:val="00946F50"/>
    <w:rsid w:val="00954863"/>
    <w:rsid w:val="00955830"/>
    <w:rsid w:val="00956524"/>
    <w:rsid w:val="00957F11"/>
    <w:rsid w:val="00960508"/>
    <w:rsid w:val="00961F04"/>
    <w:rsid w:val="00962177"/>
    <w:rsid w:val="00963B5B"/>
    <w:rsid w:val="00963E59"/>
    <w:rsid w:val="00964A66"/>
    <w:rsid w:val="00971147"/>
    <w:rsid w:val="00973FB1"/>
    <w:rsid w:val="00974DE9"/>
    <w:rsid w:val="009767E9"/>
    <w:rsid w:val="00976BB5"/>
    <w:rsid w:val="00977AB6"/>
    <w:rsid w:val="009829F1"/>
    <w:rsid w:val="0098674F"/>
    <w:rsid w:val="009905E7"/>
    <w:rsid w:val="00993E04"/>
    <w:rsid w:val="00995463"/>
    <w:rsid w:val="009958BE"/>
    <w:rsid w:val="00996E4C"/>
    <w:rsid w:val="009971BB"/>
    <w:rsid w:val="009A0EE1"/>
    <w:rsid w:val="009A232A"/>
    <w:rsid w:val="009B0008"/>
    <w:rsid w:val="009B1AAB"/>
    <w:rsid w:val="009B335F"/>
    <w:rsid w:val="009B3867"/>
    <w:rsid w:val="009B3BE8"/>
    <w:rsid w:val="009B5F40"/>
    <w:rsid w:val="009B65D1"/>
    <w:rsid w:val="009C0511"/>
    <w:rsid w:val="009C14D0"/>
    <w:rsid w:val="009C539B"/>
    <w:rsid w:val="009C5BBC"/>
    <w:rsid w:val="009D05D8"/>
    <w:rsid w:val="009D3E8B"/>
    <w:rsid w:val="009E30BC"/>
    <w:rsid w:val="009E4D16"/>
    <w:rsid w:val="009E71DC"/>
    <w:rsid w:val="009F1C55"/>
    <w:rsid w:val="009F3B38"/>
    <w:rsid w:val="009F6E01"/>
    <w:rsid w:val="009F7228"/>
    <w:rsid w:val="009F7CA6"/>
    <w:rsid w:val="00A0007F"/>
    <w:rsid w:val="00A01CD2"/>
    <w:rsid w:val="00A04E91"/>
    <w:rsid w:val="00A06B3C"/>
    <w:rsid w:val="00A0702E"/>
    <w:rsid w:val="00A10677"/>
    <w:rsid w:val="00A119C6"/>
    <w:rsid w:val="00A14357"/>
    <w:rsid w:val="00A14F67"/>
    <w:rsid w:val="00A1537C"/>
    <w:rsid w:val="00A23C06"/>
    <w:rsid w:val="00A27E6D"/>
    <w:rsid w:val="00A31725"/>
    <w:rsid w:val="00A335E8"/>
    <w:rsid w:val="00A34FBD"/>
    <w:rsid w:val="00A35735"/>
    <w:rsid w:val="00A36B30"/>
    <w:rsid w:val="00A36CF5"/>
    <w:rsid w:val="00A37D81"/>
    <w:rsid w:val="00A4045B"/>
    <w:rsid w:val="00A45067"/>
    <w:rsid w:val="00A46C08"/>
    <w:rsid w:val="00A54C2A"/>
    <w:rsid w:val="00A55D57"/>
    <w:rsid w:val="00A61527"/>
    <w:rsid w:val="00A63703"/>
    <w:rsid w:val="00A6461C"/>
    <w:rsid w:val="00A6496A"/>
    <w:rsid w:val="00A654C0"/>
    <w:rsid w:val="00A65D62"/>
    <w:rsid w:val="00A70A7E"/>
    <w:rsid w:val="00A71D65"/>
    <w:rsid w:val="00A73DF3"/>
    <w:rsid w:val="00A75F0B"/>
    <w:rsid w:val="00A76E07"/>
    <w:rsid w:val="00A76F0D"/>
    <w:rsid w:val="00A80F72"/>
    <w:rsid w:val="00A844A3"/>
    <w:rsid w:val="00A8687F"/>
    <w:rsid w:val="00A868F4"/>
    <w:rsid w:val="00A915A6"/>
    <w:rsid w:val="00A92183"/>
    <w:rsid w:val="00A943E8"/>
    <w:rsid w:val="00A96753"/>
    <w:rsid w:val="00A9733D"/>
    <w:rsid w:val="00AA5EC4"/>
    <w:rsid w:val="00AA6745"/>
    <w:rsid w:val="00AB2647"/>
    <w:rsid w:val="00AB385B"/>
    <w:rsid w:val="00AB469B"/>
    <w:rsid w:val="00AB54DE"/>
    <w:rsid w:val="00AB55C3"/>
    <w:rsid w:val="00AB6D22"/>
    <w:rsid w:val="00AB73F4"/>
    <w:rsid w:val="00AC1131"/>
    <w:rsid w:val="00AC2998"/>
    <w:rsid w:val="00AC4EA1"/>
    <w:rsid w:val="00AD1B4C"/>
    <w:rsid w:val="00AD3173"/>
    <w:rsid w:val="00AD4196"/>
    <w:rsid w:val="00AD485F"/>
    <w:rsid w:val="00AD61F2"/>
    <w:rsid w:val="00AE0CF8"/>
    <w:rsid w:val="00AE2583"/>
    <w:rsid w:val="00AE2920"/>
    <w:rsid w:val="00AE745A"/>
    <w:rsid w:val="00AE7CB4"/>
    <w:rsid w:val="00AF1B8B"/>
    <w:rsid w:val="00AF323E"/>
    <w:rsid w:val="00AF3F3B"/>
    <w:rsid w:val="00AF61BB"/>
    <w:rsid w:val="00B050CF"/>
    <w:rsid w:val="00B12ADE"/>
    <w:rsid w:val="00B13F82"/>
    <w:rsid w:val="00B15847"/>
    <w:rsid w:val="00B23E4E"/>
    <w:rsid w:val="00B2465C"/>
    <w:rsid w:val="00B247BD"/>
    <w:rsid w:val="00B24B1B"/>
    <w:rsid w:val="00B270CB"/>
    <w:rsid w:val="00B3359E"/>
    <w:rsid w:val="00B3772F"/>
    <w:rsid w:val="00B403E0"/>
    <w:rsid w:val="00B429ED"/>
    <w:rsid w:val="00B42A03"/>
    <w:rsid w:val="00B513D0"/>
    <w:rsid w:val="00B52950"/>
    <w:rsid w:val="00B53339"/>
    <w:rsid w:val="00B5428E"/>
    <w:rsid w:val="00B57BDF"/>
    <w:rsid w:val="00B60928"/>
    <w:rsid w:val="00B60AE6"/>
    <w:rsid w:val="00B66DFA"/>
    <w:rsid w:val="00B71239"/>
    <w:rsid w:val="00B72D47"/>
    <w:rsid w:val="00B73014"/>
    <w:rsid w:val="00B73992"/>
    <w:rsid w:val="00B7564E"/>
    <w:rsid w:val="00B84977"/>
    <w:rsid w:val="00B84BCF"/>
    <w:rsid w:val="00B86C92"/>
    <w:rsid w:val="00B90135"/>
    <w:rsid w:val="00B912FC"/>
    <w:rsid w:val="00B927F6"/>
    <w:rsid w:val="00B929AA"/>
    <w:rsid w:val="00B96350"/>
    <w:rsid w:val="00B9661F"/>
    <w:rsid w:val="00B97581"/>
    <w:rsid w:val="00BA1816"/>
    <w:rsid w:val="00BA19DD"/>
    <w:rsid w:val="00BA1E0C"/>
    <w:rsid w:val="00BA53F5"/>
    <w:rsid w:val="00BB0F28"/>
    <w:rsid w:val="00BB2D6B"/>
    <w:rsid w:val="00BC5855"/>
    <w:rsid w:val="00BD00FC"/>
    <w:rsid w:val="00BD1050"/>
    <w:rsid w:val="00BD1FB9"/>
    <w:rsid w:val="00BD5249"/>
    <w:rsid w:val="00BE43BF"/>
    <w:rsid w:val="00BE7443"/>
    <w:rsid w:val="00BF06CE"/>
    <w:rsid w:val="00BF462A"/>
    <w:rsid w:val="00BF46AE"/>
    <w:rsid w:val="00BF6032"/>
    <w:rsid w:val="00BF7749"/>
    <w:rsid w:val="00BF79E5"/>
    <w:rsid w:val="00BF7C01"/>
    <w:rsid w:val="00C054EA"/>
    <w:rsid w:val="00C0733E"/>
    <w:rsid w:val="00C07F4A"/>
    <w:rsid w:val="00C13B17"/>
    <w:rsid w:val="00C14AAF"/>
    <w:rsid w:val="00C20007"/>
    <w:rsid w:val="00C21840"/>
    <w:rsid w:val="00C2402E"/>
    <w:rsid w:val="00C3685D"/>
    <w:rsid w:val="00C37551"/>
    <w:rsid w:val="00C42724"/>
    <w:rsid w:val="00C42AA9"/>
    <w:rsid w:val="00C43089"/>
    <w:rsid w:val="00C45B26"/>
    <w:rsid w:val="00C462BF"/>
    <w:rsid w:val="00C47B7D"/>
    <w:rsid w:val="00C53101"/>
    <w:rsid w:val="00C5683E"/>
    <w:rsid w:val="00C61DAE"/>
    <w:rsid w:val="00C63286"/>
    <w:rsid w:val="00C66F7C"/>
    <w:rsid w:val="00C726F3"/>
    <w:rsid w:val="00C7318C"/>
    <w:rsid w:val="00C73326"/>
    <w:rsid w:val="00C75AFD"/>
    <w:rsid w:val="00C762B6"/>
    <w:rsid w:val="00C7689A"/>
    <w:rsid w:val="00C81BA2"/>
    <w:rsid w:val="00C82426"/>
    <w:rsid w:val="00C83D53"/>
    <w:rsid w:val="00C8497B"/>
    <w:rsid w:val="00C90CF3"/>
    <w:rsid w:val="00C91194"/>
    <w:rsid w:val="00C928FF"/>
    <w:rsid w:val="00CA1774"/>
    <w:rsid w:val="00CA19CD"/>
    <w:rsid w:val="00CA22BF"/>
    <w:rsid w:val="00CA30C0"/>
    <w:rsid w:val="00CA38EC"/>
    <w:rsid w:val="00CA6658"/>
    <w:rsid w:val="00CB2F8A"/>
    <w:rsid w:val="00CB416F"/>
    <w:rsid w:val="00CB4E61"/>
    <w:rsid w:val="00CC3706"/>
    <w:rsid w:val="00CC3BFD"/>
    <w:rsid w:val="00CC497A"/>
    <w:rsid w:val="00CC6322"/>
    <w:rsid w:val="00CD02A5"/>
    <w:rsid w:val="00CD20A9"/>
    <w:rsid w:val="00CD36AD"/>
    <w:rsid w:val="00CD405F"/>
    <w:rsid w:val="00CD696C"/>
    <w:rsid w:val="00CD69B8"/>
    <w:rsid w:val="00CE1090"/>
    <w:rsid w:val="00CE5537"/>
    <w:rsid w:val="00CF113D"/>
    <w:rsid w:val="00CF17EB"/>
    <w:rsid w:val="00CF18F1"/>
    <w:rsid w:val="00CF303D"/>
    <w:rsid w:val="00D00D33"/>
    <w:rsid w:val="00D0292C"/>
    <w:rsid w:val="00D04444"/>
    <w:rsid w:val="00D068D1"/>
    <w:rsid w:val="00D071A0"/>
    <w:rsid w:val="00D10A7D"/>
    <w:rsid w:val="00D112C0"/>
    <w:rsid w:val="00D14AB1"/>
    <w:rsid w:val="00D15952"/>
    <w:rsid w:val="00D15AF3"/>
    <w:rsid w:val="00D16B5A"/>
    <w:rsid w:val="00D21C2D"/>
    <w:rsid w:val="00D221A3"/>
    <w:rsid w:val="00D240FA"/>
    <w:rsid w:val="00D26DAD"/>
    <w:rsid w:val="00D330E3"/>
    <w:rsid w:val="00D3333C"/>
    <w:rsid w:val="00D37E0C"/>
    <w:rsid w:val="00D403C7"/>
    <w:rsid w:val="00D40B90"/>
    <w:rsid w:val="00D42A20"/>
    <w:rsid w:val="00D473D0"/>
    <w:rsid w:val="00D539D5"/>
    <w:rsid w:val="00D54BA8"/>
    <w:rsid w:val="00D5733D"/>
    <w:rsid w:val="00D603FB"/>
    <w:rsid w:val="00D61197"/>
    <w:rsid w:val="00D62CF7"/>
    <w:rsid w:val="00D63B6C"/>
    <w:rsid w:val="00D6502A"/>
    <w:rsid w:val="00D66189"/>
    <w:rsid w:val="00D70FF0"/>
    <w:rsid w:val="00D71471"/>
    <w:rsid w:val="00D71C8B"/>
    <w:rsid w:val="00D720C1"/>
    <w:rsid w:val="00D72CA8"/>
    <w:rsid w:val="00D74107"/>
    <w:rsid w:val="00D74283"/>
    <w:rsid w:val="00D80FC9"/>
    <w:rsid w:val="00D81574"/>
    <w:rsid w:val="00D84A45"/>
    <w:rsid w:val="00D87A57"/>
    <w:rsid w:val="00D91342"/>
    <w:rsid w:val="00D939BF"/>
    <w:rsid w:val="00D9569F"/>
    <w:rsid w:val="00DA2384"/>
    <w:rsid w:val="00DA3CB4"/>
    <w:rsid w:val="00DA4BA7"/>
    <w:rsid w:val="00DB3090"/>
    <w:rsid w:val="00DB3736"/>
    <w:rsid w:val="00DB62BD"/>
    <w:rsid w:val="00DC3A5A"/>
    <w:rsid w:val="00DC521C"/>
    <w:rsid w:val="00DD07DE"/>
    <w:rsid w:val="00DD3DA4"/>
    <w:rsid w:val="00DD69E2"/>
    <w:rsid w:val="00DE1E16"/>
    <w:rsid w:val="00DE4BC5"/>
    <w:rsid w:val="00DE5D49"/>
    <w:rsid w:val="00DE6486"/>
    <w:rsid w:val="00DE6F62"/>
    <w:rsid w:val="00DE7B06"/>
    <w:rsid w:val="00DF1581"/>
    <w:rsid w:val="00DF35A1"/>
    <w:rsid w:val="00DF49D3"/>
    <w:rsid w:val="00DF52FB"/>
    <w:rsid w:val="00DF5DB2"/>
    <w:rsid w:val="00DF6A22"/>
    <w:rsid w:val="00DF7F79"/>
    <w:rsid w:val="00E001D0"/>
    <w:rsid w:val="00E006F8"/>
    <w:rsid w:val="00E01B72"/>
    <w:rsid w:val="00E024C9"/>
    <w:rsid w:val="00E057DF"/>
    <w:rsid w:val="00E05E1F"/>
    <w:rsid w:val="00E11A0F"/>
    <w:rsid w:val="00E162F1"/>
    <w:rsid w:val="00E16FB4"/>
    <w:rsid w:val="00E17351"/>
    <w:rsid w:val="00E209F2"/>
    <w:rsid w:val="00E31639"/>
    <w:rsid w:val="00E349DD"/>
    <w:rsid w:val="00E400E5"/>
    <w:rsid w:val="00E42735"/>
    <w:rsid w:val="00E51EC7"/>
    <w:rsid w:val="00E52E2C"/>
    <w:rsid w:val="00E53616"/>
    <w:rsid w:val="00E560FE"/>
    <w:rsid w:val="00E563E3"/>
    <w:rsid w:val="00E609B6"/>
    <w:rsid w:val="00E61818"/>
    <w:rsid w:val="00E638C6"/>
    <w:rsid w:val="00E660DF"/>
    <w:rsid w:val="00E66D10"/>
    <w:rsid w:val="00E7110E"/>
    <w:rsid w:val="00E80248"/>
    <w:rsid w:val="00E81B40"/>
    <w:rsid w:val="00E82EC2"/>
    <w:rsid w:val="00E86459"/>
    <w:rsid w:val="00E87719"/>
    <w:rsid w:val="00E91E55"/>
    <w:rsid w:val="00E91FF7"/>
    <w:rsid w:val="00E97634"/>
    <w:rsid w:val="00E979DE"/>
    <w:rsid w:val="00EA166E"/>
    <w:rsid w:val="00EA2651"/>
    <w:rsid w:val="00EA2E7E"/>
    <w:rsid w:val="00EA7111"/>
    <w:rsid w:val="00EB54C7"/>
    <w:rsid w:val="00EB59E7"/>
    <w:rsid w:val="00EB5D6A"/>
    <w:rsid w:val="00EB64B7"/>
    <w:rsid w:val="00EB66B1"/>
    <w:rsid w:val="00EB7392"/>
    <w:rsid w:val="00EC13E4"/>
    <w:rsid w:val="00EC2564"/>
    <w:rsid w:val="00EC5202"/>
    <w:rsid w:val="00EC78A9"/>
    <w:rsid w:val="00ED0437"/>
    <w:rsid w:val="00ED31E1"/>
    <w:rsid w:val="00ED4CF4"/>
    <w:rsid w:val="00ED6A68"/>
    <w:rsid w:val="00EE1F0A"/>
    <w:rsid w:val="00EE5574"/>
    <w:rsid w:val="00EE70FF"/>
    <w:rsid w:val="00EF3CB6"/>
    <w:rsid w:val="00EF50C8"/>
    <w:rsid w:val="00EF6441"/>
    <w:rsid w:val="00F01BC2"/>
    <w:rsid w:val="00F02691"/>
    <w:rsid w:val="00F02942"/>
    <w:rsid w:val="00F04502"/>
    <w:rsid w:val="00F05A73"/>
    <w:rsid w:val="00F06936"/>
    <w:rsid w:val="00F12E87"/>
    <w:rsid w:val="00F1435D"/>
    <w:rsid w:val="00F17343"/>
    <w:rsid w:val="00F17F16"/>
    <w:rsid w:val="00F2007C"/>
    <w:rsid w:val="00F22755"/>
    <w:rsid w:val="00F24F4C"/>
    <w:rsid w:val="00F32A60"/>
    <w:rsid w:val="00F33111"/>
    <w:rsid w:val="00F33B2B"/>
    <w:rsid w:val="00F33FCD"/>
    <w:rsid w:val="00F340DC"/>
    <w:rsid w:val="00F34597"/>
    <w:rsid w:val="00F3592D"/>
    <w:rsid w:val="00F3641E"/>
    <w:rsid w:val="00F366C4"/>
    <w:rsid w:val="00F367F1"/>
    <w:rsid w:val="00F419B2"/>
    <w:rsid w:val="00F44CD5"/>
    <w:rsid w:val="00F45F68"/>
    <w:rsid w:val="00F46384"/>
    <w:rsid w:val="00F51AD2"/>
    <w:rsid w:val="00F5382C"/>
    <w:rsid w:val="00F53CCB"/>
    <w:rsid w:val="00F568C4"/>
    <w:rsid w:val="00F6098A"/>
    <w:rsid w:val="00F61FEC"/>
    <w:rsid w:val="00F710A8"/>
    <w:rsid w:val="00F71316"/>
    <w:rsid w:val="00F72213"/>
    <w:rsid w:val="00F72C55"/>
    <w:rsid w:val="00F7390A"/>
    <w:rsid w:val="00F7537F"/>
    <w:rsid w:val="00F75F15"/>
    <w:rsid w:val="00F77EFD"/>
    <w:rsid w:val="00F804FC"/>
    <w:rsid w:val="00F80A4A"/>
    <w:rsid w:val="00F8312E"/>
    <w:rsid w:val="00F835CF"/>
    <w:rsid w:val="00F85C08"/>
    <w:rsid w:val="00F90497"/>
    <w:rsid w:val="00F92204"/>
    <w:rsid w:val="00F929E9"/>
    <w:rsid w:val="00F941DA"/>
    <w:rsid w:val="00F95685"/>
    <w:rsid w:val="00FA00D0"/>
    <w:rsid w:val="00FA5238"/>
    <w:rsid w:val="00FA5809"/>
    <w:rsid w:val="00FA7BB6"/>
    <w:rsid w:val="00FB414F"/>
    <w:rsid w:val="00FB5F8F"/>
    <w:rsid w:val="00FB600C"/>
    <w:rsid w:val="00FB652F"/>
    <w:rsid w:val="00FB7165"/>
    <w:rsid w:val="00FB7E17"/>
    <w:rsid w:val="00FC0C6B"/>
    <w:rsid w:val="00FD1B06"/>
    <w:rsid w:val="00FD2672"/>
    <w:rsid w:val="00FD4CE7"/>
    <w:rsid w:val="00FD54EA"/>
    <w:rsid w:val="00FE1B66"/>
    <w:rsid w:val="00FE21B4"/>
    <w:rsid w:val="00FE3A54"/>
    <w:rsid w:val="00FE3D2A"/>
    <w:rsid w:val="00FE6E4F"/>
    <w:rsid w:val="00FE7FEA"/>
    <w:rsid w:val="00FF0B66"/>
    <w:rsid w:val="00FF1694"/>
    <w:rsid w:val="00FF1791"/>
    <w:rsid w:val="00FF595B"/>
    <w:rsid w:val="00FF6FC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14:docId w14:val="0873B006"/>
  <w15:docId w15:val="{136AA847-74DF-4560-A7FF-FF54B23D3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F323E"/>
    <w:pPr>
      <w:spacing w:after="0" w:line="240" w:lineRule="auto"/>
    </w:pPr>
  </w:style>
  <w:style w:type="paragraph" w:styleId="Heading1">
    <w:name w:val="heading 1"/>
    <w:basedOn w:val="Normal"/>
    <w:next w:val="Normal"/>
    <w:link w:val="Heading1Char"/>
    <w:autoRedefine/>
    <w:uiPriority w:val="9"/>
    <w:qFormat/>
    <w:rsid w:val="00A14357"/>
    <w:pPr>
      <w:keepNext/>
      <w:keepLines/>
      <w:pageBreakBefore/>
      <w:numPr>
        <w:numId w:val="27"/>
      </w:numPr>
      <w:ind w:left="567" w:hanging="567"/>
      <w:jc w:val="both"/>
      <w:outlineLvl w:val="0"/>
    </w:pPr>
    <w:rPr>
      <w:rFonts w:eastAsiaTheme="majorEastAsia"/>
      <w:b/>
      <w:bCs/>
      <w:szCs w:val="28"/>
    </w:rPr>
  </w:style>
  <w:style w:type="paragraph" w:styleId="Heading2">
    <w:name w:val="heading 2"/>
    <w:basedOn w:val="Normal"/>
    <w:next w:val="Normal"/>
    <w:link w:val="Heading2Char"/>
    <w:autoRedefine/>
    <w:uiPriority w:val="9"/>
    <w:unhideWhenUsed/>
    <w:qFormat/>
    <w:rsid w:val="00CD69B8"/>
    <w:pPr>
      <w:keepNext/>
      <w:keepLines/>
      <w:numPr>
        <w:ilvl w:val="1"/>
        <w:numId w:val="27"/>
      </w:numPr>
      <w:outlineLvl w:val="1"/>
    </w:pPr>
    <w:rPr>
      <w:rFonts w:eastAsiaTheme="majorEastAsia"/>
      <w:b/>
      <w:bCs/>
      <w:szCs w:val="26"/>
    </w:rPr>
  </w:style>
  <w:style w:type="paragraph" w:styleId="Heading3">
    <w:name w:val="heading 3"/>
    <w:basedOn w:val="Normal"/>
    <w:next w:val="Normal"/>
    <w:link w:val="Heading3Char"/>
    <w:autoRedefine/>
    <w:uiPriority w:val="9"/>
    <w:unhideWhenUsed/>
    <w:qFormat/>
    <w:rsid w:val="007C58A6"/>
    <w:pPr>
      <w:keepNext/>
      <w:keepLines/>
      <w:numPr>
        <w:ilvl w:val="2"/>
        <w:numId w:val="27"/>
      </w:numPr>
      <w:outlineLvl w:val="2"/>
    </w:pPr>
    <w:rPr>
      <w:rFonts w:eastAsiaTheme="majorEastAsia"/>
      <w:b/>
      <w:bCs/>
    </w:rPr>
  </w:style>
  <w:style w:type="paragraph" w:styleId="Heading4">
    <w:name w:val="heading 4"/>
    <w:basedOn w:val="Normal"/>
    <w:next w:val="Normal"/>
    <w:link w:val="Heading4Char"/>
    <w:autoRedefine/>
    <w:uiPriority w:val="9"/>
    <w:unhideWhenUsed/>
    <w:rsid w:val="00EB66B1"/>
    <w:pPr>
      <w:keepNext/>
      <w:keepLines/>
      <w:numPr>
        <w:ilvl w:val="3"/>
        <w:numId w:val="27"/>
      </w:numPr>
      <w:spacing w:before="240" w:after="120"/>
      <w:outlineLvl w:val="3"/>
    </w:pPr>
    <w:rPr>
      <w:rFonts w:eastAsiaTheme="majorEastAsia"/>
      <w:b/>
      <w:bCs/>
      <w:iCs/>
    </w:rPr>
  </w:style>
  <w:style w:type="paragraph" w:styleId="Heading5">
    <w:name w:val="heading 5"/>
    <w:basedOn w:val="Normal"/>
    <w:next w:val="Normal"/>
    <w:link w:val="Heading5Char"/>
    <w:autoRedefine/>
    <w:uiPriority w:val="9"/>
    <w:unhideWhenUsed/>
    <w:rsid w:val="00273123"/>
    <w:pPr>
      <w:keepNext/>
      <w:keepLines/>
      <w:numPr>
        <w:ilvl w:val="4"/>
        <w:numId w:val="27"/>
      </w:numPr>
      <w:spacing w:before="240" w:after="120"/>
      <w:outlineLvl w:val="4"/>
    </w:pPr>
    <w:rPr>
      <w:rFonts w:eastAsiaTheme="majorEastAsia"/>
      <w:b/>
    </w:rPr>
  </w:style>
  <w:style w:type="paragraph" w:styleId="Heading6">
    <w:name w:val="heading 6"/>
    <w:basedOn w:val="Normal"/>
    <w:next w:val="Normal"/>
    <w:link w:val="Heading6Char"/>
    <w:uiPriority w:val="9"/>
    <w:unhideWhenUsed/>
    <w:rsid w:val="006F163E"/>
    <w:pPr>
      <w:keepNext/>
      <w:keepLines/>
      <w:numPr>
        <w:ilvl w:val="5"/>
        <w:numId w:val="27"/>
      </w:numPr>
      <w:spacing w:before="240" w:after="120"/>
      <w:outlineLvl w:val="5"/>
    </w:pPr>
    <w:rPr>
      <w:rFonts w:eastAsiaTheme="majorEastAsia"/>
      <w:b/>
      <w:iCs/>
    </w:rPr>
  </w:style>
  <w:style w:type="paragraph" w:styleId="Heading7">
    <w:name w:val="heading 7"/>
    <w:basedOn w:val="Normal"/>
    <w:next w:val="Normal"/>
    <w:link w:val="Heading7Char"/>
    <w:uiPriority w:val="9"/>
    <w:unhideWhenUsed/>
    <w:rsid w:val="006F163E"/>
    <w:pPr>
      <w:keepNext/>
      <w:keepLines/>
      <w:numPr>
        <w:ilvl w:val="6"/>
        <w:numId w:val="27"/>
      </w:numPr>
      <w:spacing w:before="240" w:after="120"/>
      <w:outlineLvl w:val="6"/>
    </w:pPr>
    <w:rPr>
      <w:rFonts w:eastAsiaTheme="majorEastAsia" w:cstheme="majorBidi"/>
      <w:b/>
      <w:i/>
      <w:iCs/>
    </w:rPr>
  </w:style>
  <w:style w:type="paragraph" w:styleId="Heading8">
    <w:name w:val="heading 8"/>
    <w:basedOn w:val="Normal"/>
    <w:next w:val="Normal"/>
    <w:link w:val="Heading8Char"/>
    <w:uiPriority w:val="9"/>
    <w:unhideWhenUsed/>
    <w:rsid w:val="006F163E"/>
    <w:pPr>
      <w:keepNext/>
      <w:keepLines/>
      <w:numPr>
        <w:ilvl w:val="7"/>
        <w:numId w:val="27"/>
      </w:numPr>
      <w:spacing w:before="240" w:after="120"/>
      <w:outlineLvl w:val="7"/>
    </w:pPr>
    <w:rPr>
      <w:rFonts w:eastAsiaTheme="majorEastAsia" w:cstheme="majorBidi"/>
      <w:szCs w:val="20"/>
    </w:rPr>
  </w:style>
  <w:style w:type="paragraph" w:styleId="Heading9">
    <w:name w:val="heading 9"/>
    <w:basedOn w:val="Normal"/>
    <w:next w:val="Normal"/>
    <w:link w:val="Heading9Char"/>
    <w:uiPriority w:val="9"/>
    <w:unhideWhenUsed/>
    <w:rsid w:val="006F163E"/>
    <w:pPr>
      <w:keepNext/>
      <w:keepLines/>
      <w:numPr>
        <w:ilvl w:val="8"/>
        <w:numId w:val="27"/>
      </w:numPr>
      <w:spacing w:before="240" w:after="120"/>
      <w:outlineLvl w:val="8"/>
    </w:pPr>
    <w:rPr>
      <w:rFonts w:eastAsiaTheme="majorEastAsia" w:cstheme="majorBidi"/>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heading">
    <w:name w:val="Subheading"/>
    <w:basedOn w:val="Normal"/>
    <w:next w:val="Normal"/>
    <w:link w:val="SubheadingChar"/>
    <w:rsid w:val="00E209F2"/>
    <w:pPr>
      <w:keepNext/>
    </w:pPr>
    <w:rPr>
      <w:b/>
    </w:rPr>
  </w:style>
  <w:style w:type="character" w:customStyle="1" w:styleId="SubheadingChar">
    <w:name w:val="Subheading Char"/>
    <w:basedOn w:val="DefaultParagraphFont"/>
    <w:link w:val="Subheading"/>
    <w:rsid w:val="00E209F2"/>
    <w:rPr>
      <w:rFonts w:ascii="Arial" w:hAnsi="Arial" w:cs="Arial"/>
      <w:b/>
      <w:sz w:val="28"/>
    </w:rPr>
  </w:style>
  <w:style w:type="paragraph" w:styleId="Caption">
    <w:name w:val="caption"/>
    <w:basedOn w:val="Normal"/>
    <w:next w:val="Normal"/>
    <w:uiPriority w:val="35"/>
    <w:unhideWhenUsed/>
    <w:qFormat/>
    <w:rsid w:val="009B335F"/>
    <w:rPr>
      <w:b/>
      <w:bCs/>
      <w:sz w:val="20"/>
      <w:szCs w:val="18"/>
    </w:rPr>
  </w:style>
  <w:style w:type="paragraph" w:styleId="Title">
    <w:name w:val="Title"/>
    <w:basedOn w:val="Normal"/>
    <w:next w:val="Normal"/>
    <w:link w:val="TitleChar"/>
    <w:autoRedefine/>
    <w:uiPriority w:val="10"/>
    <w:qFormat/>
    <w:rsid w:val="005B0D14"/>
    <w:pPr>
      <w:keepNext/>
      <w:pBdr>
        <w:bottom w:val="single" w:sz="8" w:space="4" w:color="auto"/>
      </w:pBdr>
      <w:spacing w:before="240" w:after="120"/>
      <w:contextualSpacing/>
      <w:outlineLvl w:val="0"/>
    </w:pPr>
    <w:rPr>
      <w:rFonts w:eastAsiaTheme="majorEastAsia"/>
      <w:b/>
      <w:spacing w:val="5"/>
      <w:sz w:val="36"/>
      <w:szCs w:val="52"/>
    </w:rPr>
  </w:style>
  <w:style w:type="character" w:customStyle="1" w:styleId="TitleChar">
    <w:name w:val="Title Char"/>
    <w:basedOn w:val="DefaultParagraphFont"/>
    <w:link w:val="Title"/>
    <w:uiPriority w:val="10"/>
    <w:rsid w:val="005B0D14"/>
    <w:rPr>
      <w:rFonts w:eastAsiaTheme="majorEastAsia"/>
      <w:b/>
      <w:spacing w:val="5"/>
      <w:sz w:val="36"/>
      <w:szCs w:val="52"/>
    </w:rPr>
  </w:style>
  <w:style w:type="paragraph" w:styleId="Subtitle">
    <w:name w:val="Subtitle"/>
    <w:basedOn w:val="Normal"/>
    <w:next w:val="Normal"/>
    <w:link w:val="SubtitleChar"/>
    <w:autoRedefine/>
    <w:uiPriority w:val="11"/>
    <w:rsid w:val="00EB66B1"/>
    <w:pPr>
      <w:keepNext/>
      <w:numPr>
        <w:ilvl w:val="1"/>
      </w:numPr>
    </w:pPr>
    <w:rPr>
      <w:rFonts w:eastAsiaTheme="majorEastAsia"/>
      <w:iCs/>
      <w:spacing w:val="15"/>
      <w:sz w:val="28"/>
    </w:rPr>
  </w:style>
  <w:style w:type="character" w:customStyle="1" w:styleId="SubtitleChar">
    <w:name w:val="Subtitle Char"/>
    <w:basedOn w:val="DefaultParagraphFont"/>
    <w:link w:val="Subtitle"/>
    <w:uiPriority w:val="11"/>
    <w:rsid w:val="00EB66B1"/>
    <w:rPr>
      <w:rFonts w:ascii="Arial" w:eastAsiaTheme="majorEastAsia" w:hAnsi="Arial" w:cs="Arial"/>
      <w:iCs/>
      <w:spacing w:val="15"/>
      <w:sz w:val="28"/>
      <w:szCs w:val="24"/>
    </w:rPr>
  </w:style>
  <w:style w:type="character" w:customStyle="1" w:styleId="Heading1Char">
    <w:name w:val="Heading 1 Char"/>
    <w:basedOn w:val="DefaultParagraphFont"/>
    <w:link w:val="Heading1"/>
    <w:uiPriority w:val="9"/>
    <w:rsid w:val="00A14357"/>
    <w:rPr>
      <w:rFonts w:eastAsiaTheme="majorEastAsia"/>
      <w:b/>
      <w:bCs/>
      <w:szCs w:val="28"/>
    </w:rPr>
  </w:style>
  <w:style w:type="character" w:customStyle="1" w:styleId="Heading2Char">
    <w:name w:val="Heading 2 Char"/>
    <w:basedOn w:val="DefaultParagraphFont"/>
    <w:link w:val="Heading2"/>
    <w:uiPriority w:val="9"/>
    <w:rsid w:val="00CD69B8"/>
    <w:rPr>
      <w:rFonts w:eastAsiaTheme="majorEastAsia"/>
      <w:b/>
      <w:bCs/>
      <w:szCs w:val="26"/>
    </w:rPr>
  </w:style>
  <w:style w:type="character" w:customStyle="1" w:styleId="Heading3Char">
    <w:name w:val="Heading 3 Char"/>
    <w:basedOn w:val="DefaultParagraphFont"/>
    <w:link w:val="Heading3"/>
    <w:uiPriority w:val="9"/>
    <w:rsid w:val="007C58A6"/>
    <w:rPr>
      <w:rFonts w:eastAsiaTheme="majorEastAsia"/>
      <w:b/>
      <w:bCs/>
    </w:rPr>
  </w:style>
  <w:style w:type="character" w:customStyle="1" w:styleId="Heading4Char">
    <w:name w:val="Heading 4 Char"/>
    <w:basedOn w:val="DefaultParagraphFont"/>
    <w:link w:val="Heading4"/>
    <w:uiPriority w:val="9"/>
    <w:rsid w:val="00EB66B1"/>
    <w:rPr>
      <w:rFonts w:eastAsiaTheme="majorEastAsia"/>
      <w:b/>
      <w:bCs/>
      <w:iCs/>
    </w:rPr>
  </w:style>
  <w:style w:type="character" w:customStyle="1" w:styleId="Heading5Char">
    <w:name w:val="Heading 5 Char"/>
    <w:basedOn w:val="DefaultParagraphFont"/>
    <w:link w:val="Heading5"/>
    <w:uiPriority w:val="9"/>
    <w:rsid w:val="00273123"/>
    <w:rPr>
      <w:rFonts w:eastAsiaTheme="majorEastAsia"/>
      <w:b/>
    </w:rPr>
  </w:style>
  <w:style w:type="character" w:customStyle="1" w:styleId="Heading6Char">
    <w:name w:val="Heading 6 Char"/>
    <w:basedOn w:val="DefaultParagraphFont"/>
    <w:link w:val="Heading6"/>
    <w:uiPriority w:val="9"/>
    <w:rsid w:val="006F163E"/>
    <w:rPr>
      <w:rFonts w:eastAsiaTheme="majorEastAsia"/>
      <w:b/>
      <w:iCs/>
    </w:rPr>
  </w:style>
  <w:style w:type="paragraph" w:styleId="Quote">
    <w:name w:val="Quote"/>
    <w:basedOn w:val="Normal"/>
    <w:next w:val="Normal"/>
    <w:link w:val="QuoteChar1"/>
    <w:uiPriority w:val="29"/>
    <w:rsid w:val="00AD1B4C"/>
    <w:pPr>
      <w:ind w:left="794" w:right="794"/>
    </w:pPr>
    <w:rPr>
      <w:i/>
      <w:iCs/>
    </w:rPr>
  </w:style>
  <w:style w:type="character" w:customStyle="1" w:styleId="QuoteChar">
    <w:name w:val="Quote Char"/>
    <w:basedOn w:val="DefaultParagraphFont"/>
    <w:uiPriority w:val="29"/>
    <w:rsid w:val="00E209F2"/>
    <w:rPr>
      <w:rFonts w:ascii="Arial" w:hAnsi="Arial" w:cs="Arial"/>
      <w:i/>
      <w:iCs/>
      <w:color w:val="000000" w:themeColor="text1"/>
      <w:sz w:val="28"/>
    </w:rPr>
  </w:style>
  <w:style w:type="character" w:customStyle="1" w:styleId="QuoteChar1">
    <w:name w:val="Quote Char1"/>
    <w:basedOn w:val="DefaultParagraphFont"/>
    <w:link w:val="Quote"/>
    <w:uiPriority w:val="29"/>
    <w:rsid w:val="00AD1B4C"/>
    <w:rPr>
      <w:i/>
      <w:iCs/>
    </w:rPr>
  </w:style>
  <w:style w:type="paragraph" w:styleId="ListBullet">
    <w:name w:val="List Bullet"/>
    <w:basedOn w:val="Normal"/>
    <w:uiPriority w:val="99"/>
    <w:semiHidden/>
    <w:unhideWhenUsed/>
    <w:rsid w:val="00E209F2"/>
    <w:pPr>
      <w:numPr>
        <w:numId w:val="1"/>
      </w:numPr>
      <w:contextualSpacing/>
    </w:pPr>
  </w:style>
  <w:style w:type="paragraph" w:styleId="ListNumber">
    <w:name w:val="List Number"/>
    <w:basedOn w:val="Normal"/>
    <w:uiPriority w:val="99"/>
    <w:semiHidden/>
    <w:unhideWhenUsed/>
    <w:rsid w:val="00E209F2"/>
    <w:pPr>
      <w:numPr>
        <w:numId w:val="2"/>
      </w:numPr>
      <w:contextualSpacing/>
    </w:pPr>
  </w:style>
  <w:style w:type="paragraph" w:styleId="TableofFigures">
    <w:name w:val="table of figures"/>
    <w:basedOn w:val="Normal"/>
    <w:next w:val="Normal"/>
    <w:uiPriority w:val="99"/>
    <w:semiHidden/>
    <w:unhideWhenUsed/>
    <w:rsid w:val="00E209F2"/>
  </w:style>
  <w:style w:type="character" w:styleId="IntenseEmphasis">
    <w:name w:val="Intense Emphasis"/>
    <w:basedOn w:val="DefaultParagraphFont"/>
    <w:uiPriority w:val="21"/>
    <w:rsid w:val="00416AA0"/>
    <w:rPr>
      <w:b/>
      <w:bCs/>
      <w:i/>
      <w:iCs/>
      <w:color w:val="auto"/>
    </w:rPr>
  </w:style>
  <w:style w:type="paragraph" w:styleId="IntenseQuote">
    <w:name w:val="Intense Quote"/>
    <w:basedOn w:val="Normal"/>
    <w:next w:val="Normal"/>
    <w:link w:val="IntenseQuoteChar"/>
    <w:uiPriority w:val="30"/>
    <w:rsid w:val="001C2F45"/>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1C2F45"/>
    <w:rPr>
      <w:rFonts w:ascii="Arial" w:hAnsi="Arial" w:cs="Arial"/>
      <w:b/>
      <w:bCs/>
      <w:i/>
      <w:iCs/>
      <w:sz w:val="24"/>
    </w:rPr>
  </w:style>
  <w:style w:type="character" w:styleId="SubtleReference">
    <w:name w:val="Subtle Reference"/>
    <w:basedOn w:val="DefaultParagraphFont"/>
    <w:uiPriority w:val="31"/>
    <w:rsid w:val="00B7564E"/>
    <w:rPr>
      <w:smallCaps/>
      <w:color w:val="auto"/>
      <w:u w:val="single"/>
    </w:rPr>
  </w:style>
  <w:style w:type="character" w:customStyle="1" w:styleId="Heading7Char">
    <w:name w:val="Heading 7 Char"/>
    <w:basedOn w:val="DefaultParagraphFont"/>
    <w:link w:val="Heading7"/>
    <w:uiPriority w:val="9"/>
    <w:rsid w:val="006F163E"/>
    <w:rPr>
      <w:rFonts w:eastAsiaTheme="majorEastAsia" w:cstheme="majorBidi"/>
      <w:b/>
      <w:i/>
      <w:iCs/>
    </w:rPr>
  </w:style>
  <w:style w:type="character" w:customStyle="1" w:styleId="Heading8Char">
    <w:name w:val="Heading 8 Char"/>
    <w:basedOn w:val="DefaultParagraphFont"/>
    <w:link w:val="Heading8"/>
    <w:uiPriority w:val="9"/>
    <w:rsid w:val="006F163E"/>
    <w:rPr>
      <w:rFonts w:eastAsiaTheme="majorEastAsia" w:cstheme="majorBidi"/>
      <w:szCs w:val="20"/>
    </w:rPr>
  </w:style>
  <w:style w:type="character" w:customStyle="1" w:styleId="Heading9Char">
    <w:name w:val="Heading 9 Char"/>
    <w:basedOn w:val="DefaultParagraphFont"/>
    <w:link w:val="Heading9"/>
    <w:uiPriority w:val="9"/>
    <w:rsid w:val="006F163E"/>
    <w:rPr>
      <w:rFonts w:eastAsiaTheme="majorEastAsia" w:cstheme="majorBidi"/>
      <w:i/>
      <w:iCs/>
      <w:szCs w:val="20"/>
    </w:rPr>
  </w:style>
  <w:style w:type="character" w:styleId="IntenseReference">
    <w:name w:val="Intense Reference"/>
    <w:basedOn w:val="DefaultParagraphFont"/>
    <w:uiPriority w:val="32"/>
    <w:rsid w:val="00AD1B4C"/>
    <w:rPr>
      <w:b/>
      <w:bCs/>
      <w:smallCaps/>
      <w:color w:val="auto"/>
      <w:spacing w:val="5"/>
      <w:u w:val="single"/>
    </w:rPr>
  </w:style>
  <w:style w:type="paragraph" w:styleId="TOCHeading">
    <w:name w:val="TOC Heading"/>
    <w:basedOn w:val="Heading1"/>
    <w:next w:val="Normal"/>
    <w:uiPriority w:val="39"/>
    <w:semiHidden/>
    <w:unhideWhenUsed/>
    <w:qFormat/>
    <w:rsid w:val="002A237B"/>
    <w:pPr>
      <w:spacing w:before="480"/>
      <w:outlineLvl w:val="9"/>
    </w:pPr>
    <w:rPr>
      <w:rFonts w:cstheme="majorBidi"/>
      <w:sz w:val="28"/>
    </w:rPr>
  </w:style>
  <w:style w:type="paragraph" w:styleId="BlockText">
    <w:name w:val="Block Text"/>
    <w:basedOn w:val="Normal"/>
    <w:uiPriority w:val="99"/>
    <w:semiHidden/>
    <w:unhideWhenUsed/>
    <w:rsid w:val="00B23E4E"/>
    <w:pPr>
      <w:pBdr>
        <w:top w:val="single" w:sz="2" w:space="10" w:color="auto" w:shadow="1"/>
        <w:left w:val="single" w:sz="2" w:space="10" w:color="auto" w:shadow="1"/>
        <w:bottom w:val="single" w:sz="2" w:space="10" w:color="auto" w:shadow="1"/>
        <w:right w:val="single" w:sz="2" w:space="10" w:color="auto" w:shadow="1"/>
      </w:pBdr>
      <w:ind w:left="1152" w:right="1152"/>
    </w:pPr>
    <w:rPr>
      <w:rFonts w:eastAsiaTheme="minorEastAsia" w:cstheme="minorBidi"/>
      <w:i/>
      <w:iCs/>
    </w:rPr>
  </w:style>
  <w:style w:type="character" w:styleId="PlaceholderText">
    <w:name w:val="Placeholder Text"/>
    <w:basedOn w:val="DefaultParagraphFont"/>
    <w:uiPriority w:val="99"/>
    <w:semiHidden/>
    <w:rsid w:val="00AD3173"/>
    <w:rPr>
      <w:color w:val="auto"/>
    </w:rPr>
  </w:style>
  <w:style w:type="paragraph" w:styleId="TOAHeading">
    <w:name w:val="toa heading"/>
    <w:basedOn w:val="Normal"/>
    <w:next w:val="Normal"/>
    <w:uiPriority w:val="99"/>
    <w:semiHidden/>
    <w:unhideWhenUsed/>
    <w:rsid w:val="00BF7C01"/>
    <w:rPr>
      <w:rFonts w:eastAsiaTheme="majorEastAsia" w:cstheme="majorBidi"/>
      <w:b/>
      <w:bCs/>
      <w:sz w:val="28"/>
    </w:rPr>
  </w:style>
  <w:style w:type="paragraph" w:styleId="PlainText">
    <w:name w:val="Plain Text"/>
    <w:basedOn w:val="Normal"/>
    <w:link w:val="PlainTextChar"/>
    <w:uiPriority w:val="99"/>
    <w:semiHidden/>
    <w:unhideWhenUsed/>
    <w:rsid w:val="00330467"/>
    <w:rPr>
      <w:rFonts w:ascii="Consolas" w:hAnsi="Consolas"/>
      <w:szCs w:val="21"/>
    </w:rPr>
  </w:style>
  <w:style w:type="character" w:customStyle="1" w:styleId="PlainTextChar">
    <w:name w:val="Plain Text Char"/>
    <w:basedOn w:val="DefaultParagraphFont"/>
    <w:link w:val="PlainText"/>
    <w:uiPriority w:val="99"/>
    <w:semiHidden/>
    <w:rsid w:val="00330467"/>
    <w:rPr>
      <w:rFonts w:ascii="Consolas" w:hAnsi="Consolas"/>
      <w:szCs w:val="21"/>
    </w:rPr>
  </w:style>
  <w:style w:type="paragraph" w:styleId="BodyText3">
    <w:name w:val="Body Text 3"/>
    <w:basedOn w:val="Normal"/>
    <w:link w:val="BodyText3Char"/>
    <w:uiPriority w:val="99"/>
    <w:semiHidden/>
    <w:unhideWhenUsed/>
    <w:rsid w:val="00890E90"/>
    <w:pPr>
      <w:spacing w:after="120"/>
    </w:pPr>
    <w:rPr>
      <w:sz w:val="20"/>
      <w:szCs w:val="16"/>
    </w:rPr>
  </w:style>
  <w:style w:type="character" w:customStyle="1" w:styleId="BodyText3Char">
    <w:name w:val="Body Text 3 Char"/>
    <w:basedOn w:val="DefaultParagraphFont"/>
    <w:link w:val="BodyText3"/>
    <w:uiPriority w:val="99"/>
    <w:semiHidden/>
    <w:rsid w:val="00890E90"/>
    <w:rPr>
      <w:sz w:val="20"/>
      <w:szCs w:val="16"/>
    </w:rPr>
  </w:style>
  <w:style w:type="paragraph" w:styleId="BodyText">
    <w:name w:val="Body Text"/>
    <w:basedOn w:val="Normal"/>
    <w:link w:val="BodyTextChar"/>
    <w:uiPriority w:val="99"/>
    <w:unhideWhenUsed/>
    <w:rsid w:val="00890E90"/>
    <w:pPr>
      <w:spacing w:after="120"/>
    </w:pPr>
  </w:style>
  <w:style w:type="character" w:customStyle="1" w:styleId="BodyTextChar">
    <w:name w:val="Body Text Char"/>
    <w:basedOn w:val="DefaultParagraphFont"/>
    <w:link w:val="BodyText"/>
    <w:uiPriority w:val="99"/>
    <w:rsid w:val="00890E90"/>
  </w:style>
  <w:style w:type="paragraph" w:styleId="BodyTextFirstIndent">
    <w:name w:val="Body Text First Indent"/>
    <w:basedOn w:val="BodyText"/>
    <w:link w:val="BodyTextFirstIndentChar"/>
    <w:uiPriority w:val="99"/>
    <w:unhideWhenUsed/>
    <w:rsid w:val="00890E90"/>
    <w:pPr>
      <w:spacing w:after="320"/>
      <w:ind w:firstLine="360"/>
    </w:pPr>
  </w:style>
  <w:style w:type="character" w:customStyle="1" w:styleId="BodyTextFirstIndentChar">
    <w:name w:val="Body Text First Indent Char"/>
    <w:basedOn w:val="BodyTextChar"/>
    <w:link w:val="BodyTextFirstIndent"/>
    <w:uiPriority w:val="99"/>
    <w:rsid w:val="00890E90"/>
  </w:style>
  <w:style w:type="paragraph" w:styleId="BodyTextIndent3">
    <w:name w:val="Body Text Indent 3"/>
    <w:basedOn w:val="Normal"/>
    <w:link w:val="BodyTextIndent3Char"/>
    <w:uiPriority w:val="99"/>
    <w:unhideWhenUsed/>
    <w:rsid w:val="00D00D33"/>
    <w:pPr>
      <w:spacing w:after="120"/>
      <w:ind w:left="283"/>
    </w:pPr>
    <w:rPr>
      <w:sz w:val="20"/>
      <w:szCs w:val="16"/>
    </w:rPr>
  </w:style>
  <w:style w:type="character" w:customStyle="1" w:styleId="BodyTextIndent3Char">
    <w:name w:val="Body Text Indent 3 Char"/>
    <w:basedOn w:val="DefaultParagraphFont"/>
    <w:link w:val="BodyTextIndent3"/>
    <w:uiPriority w:val="99"/>
    <w:rsid w:val="00D00D33"/>
    <w:rPr>
      <w:sz w:val="20"/>
      <w:szCs w:val="16"/>
    </w:rPr>
  </w:style>
  <w:style w:type="paragraph" w:styleId="DocumentMap">
    <w:name w:val="Document Map"/>
    <w:basedOn w:val="Normal"/>
    <w:link w:val="DocumentMapChar"/>
    <w:uiPriority w:val="99"/>
    <w:semiHidden/>
    <w:unhideWhenUsed/>
    <w:rsid w:val="00B3772F"/>
    <w:rPr>
      <w:rFonts w:cs="Tahoma"/>
      <w:szCs w:val="16"/>
    </w:rPr>
  </w:style>
  <w:style w:type="character" w:customStyle="1" w:styleId="DocumentMapChar">
    <w:name w:val="Document Map Char"/>
    <w:basedOn w:val="DefaultParagraphFont"/>
    <w:link w:val="DocumentMap"/>
    <w:uiPriority w:val="99"/>
    <w:semiHidden/>
    <w:rsid w:val="00B3772F"/>
    <w:rPr>
      <w:rFonts w:cs="Tahoma"/>
      <w:szCs w:val="16"/>
    </w:rPr>
  </w:style>
  <w:style w:type="paragraph" w:styleId="EndnoteText">
    <w:name w:val="endnote text"/>
    <w:basedOn w:val="Normal"/>
    <w:link w:val="EndnoteTextChar"/>
    <w:uiPriority w:val="99"/>
    <w:unhideWhenUsed/>
    <w:rsid w:val="00B3772F"/>
    <w:rPr>
      <w:szCs w:val="20"/>
    </w:rPr>
  </w:style>
  <w:style w:type="character" w:customStyle="1" w:styleId="EndnoteTextChar">
    <w:name w:val="Endnote Text Char"/>
    <w:basedOn w:val="DefaultParagraphFont"/>
    <w:link w:val="EndnoteText"/>
    <w:uiPriority w:val="99"/>
    <w:rsid w:val="00B3772F"/>
    <w:rPr>
      <w:szCs w:val="20"/>
    </w:rPr>
  </w:style>
  <w:style w:type="character" w:styleId="Emphasis">
    <w:name w:val="Emphasis"/>
    <w:basedOn w:val="DefaultParagraphFont"/>
    <w:uiPriority w:val="20"/>
    <w:rsid w:val="00B3772F"/>
    <w:rPr>
      <w:i/>
      <w:iCs/>
    </w:rPr>
  </w:style>
  <w:style w:type="paragraph" w:styleId="EnvelopeReturn">
    <w:name w:val="envelope return"/>
    <w:basedOn w:val="Normal"/>
    <w:uiPriority w:val="99"/>
    <w:semiHidden/>
    <w:unhideWhenUsed/>
    <w:rsid w:val="00B3772F"/>
    <w:rPr>
      <w:rFonts w:eastAsiaTheme="majorEastAsia" w:cstheme="majorBidi"/>
      <w:szCs w:val="20"/>
    </w:rPr>
  </w:style>
  <w:style w:type="paragraph" w:styleId="MessageHeader">
    <w:name w:val="Message Header"/>
    <w:basedOn w:val="Normal"/>
    <w:link w:val="MessageHeaderChar"/>
    <w:uiPriority w:val="99"/>
    <w:semiHidden/>
    <w:unhideWhenUsed/>
    <w:rsid w:val="003400F1"/>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rPr>
  </w:style>
  <w:style w:type="character" w:customStyle="1" w:styleId="MessageHeaderChar">
    <w:name w:val="Message Header Char"/>
    <w:basedOn w:val="DefaultParagraphFont"/>
    <w:link w:val="MessageHeader"/>
    <w:uiPriority w:val="99"/>
    <w:semiHidden/>
    <w:rsid w:val="003400F1"/>
    <w:rPr>
      <w:rFonts w:eastAsiaTheme="majorEastAsia" w:cstheme="majorBidi"/>
      <w:shd w:val="pct20" w:color="auto" w:fill="auto"/>
    </w:rPr>
  </w:style>
  <w:style w:type="paragraph" w:styleId="NoSpacing">
    <w:name w:val="No Spacing"/>
    <w:uiPriority w:val="1"/>
    <w:qFormat/>
    <w:rsid w:val="003400F1"/>
    <w:pPr>
      <w:spacing w:after="0" w:line="240" w:lineRule="auto"/>
    </w:pPr>
  </w:style>
  <w:style w:type="paragraph" w:styleId="NormalWeb">
    <w:name w:val="Normal (Web)"/>
    <w:basedOn w:val="Normal"/>
    <w:uiPriority w:val="99"/>
    <w:semiHidden/>
    <w:unhideWhenUsed/>
    <w:rsid w:val="00930117"/>
    <w:rPr>
      <w:rFonts w:cs="Times New Roman"/>
    </w:rPr>
  </w:style>
  <w:style w:type="paragraph" w:styleId="Index1">
    <w:name w:val="index 1"/>
    <w:basedOn w:val="Normal"/>
    <w:next w:val="Normal"/>
    <w:autoRedefine/>
    <w:uiPriority w:val="99"/>
    <w:semiHidden/>
    <w:unhideWhenUsed/>
    <w:rsid w:val="00873D7B"/>
    <w:pPr>
      <w:ind w:left="240" w:hanging="240"/>
    </w:pPr>
  </w:style>
  <w:style w:type="paragraph" w:styleId="IndexHeading">
    <w:name w:val="index heading"/>
    <w:basedOn w:val="Normal"/>
    <w:next w:val="Index1"/>
    <w:uiPriority w:val="99"/>
    <w:semiHidden/>
    <w:unhideWhenUsed/>
    <w:rsid w:val="00873D7B"/>
    <w:rPr>
      <w:rFonts w:eastAsiaTheme="majorEastAsia" w:cstheme="majorBidi"/>
      <w:b/>
      <w:bCs/>
    </w:rPr>
  </w:style>
  <w:style w:type="paragraph" w:styleId="Header">
    <w:name w:val="header"/>
    <w:basedOn w:val="Normal"/>
    <w:link w:val="HeaderChar"/>
    <w:uiPriority w:val="99"/>
    <w:unhideWhenUsed/>
    <w:rsid w:val="00346FC5"/>
    <w:pPr>
      <w:tabs>
        <w:tab w:val="center" w:pos="4513"/>
        <w:tab w:val="right" w:pos="9026"/>
      </w:tabs>
    </w:pPr>
  </w:style>
  <w:style w:type="character" w:customStyle="1" w:styleId="HeaderChar">
    <w:name w:val="Header Char"/>
    <w:basedOn w:val="DefaultParagraphFont"/>
    <w:link w:val="Header"/>
    <w:uiPriority w:val="99"/>
    <w:rsid w:val="00346FC5"/>
  </w:style>
  <w:style w:type="paragraph" w:styleId="Footer">
    <w:name w:val="footer"/>
    <w:basedOn w:val="Normal"/>
    <w:link w:val="FooterChar"/>
    <w:uiPriority w:val="99"/>
    <w:unhideWhenUsed/>
    <w:rsid w:val="00346FC5"/>
    <w:pPr>
      <w:tabs>
        <w:tab w:val="center" w:pos="4513"/>
        <w:tab w:val="right" w:pos="9026"/>
      </w:tabs>
    </w:pPr>
  </w:style>
  <w:style w:type="character" w:customStyle="1" w:styleId="FooterChar">
    <w:name w:val="Footer Char"/>
    <w:basedOn w:val="DefaultParagraphFont"/>
    <w:link w:val="Footer"/>
    <w:uiPriority w:val="99"/>
    <w:rsid w:val="00346FC5"/>
  </w:style>
  <w:style w:type="table" w:styleId="TableGrid">
    <w:name w:val="Table Grid"/>
    <w:basedOn w:val="TableNormal"/>
    <w:uiPriority w:val="59"/>
    <w:rsid w:val="00346F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46FC5"/>
    <w:rPr>
      <w:rFonts w:ascii="Tahoma" w:hAnsi="Tahoma" w:cs="Tahoma"/>
      <w:sz w:val="16"/>
      <w:szCs w:val="16"/>
    </w:rPr>
  </w:style>
  <w:style w:type="character" w:customStyle="1" w:styleId="BalloonTextChar">
    <w:name w:val="Balloon Text Char"/>
    <w:basedOn w:val="DefaultParagraphFont"/>
    <w:link w:val="BalloonText"/>
    <w:uiPriority w:val="99"/>
    <w:semiHidden/>
    <w:rsid w:val="00346FC5"/>
    <w:rPr>
      <w:rFonts w:ascii="Tahoma" w:hAnsi="Tahoma" w:cs="Tahoma"/>
      <w:sz w:val="16"/>
      <w:szCs w:val="16"/>
    </w:rPr>
  </w:style>
  <w:style w:type="character" w:styleId="CommentReference">
    <w:name w:val="annotation reference"/>
    <w:basedOn w:val="DefaultParagraphFont"/>
    <w:uiPriority w:val="99"/>
    <w:semiHidden/>
    <w:unhideWhenUsed/>
    <w:rsid w:val="00915E6B"/>
    <w:rPr>
      <w:sz w:val="16"/>
      <w:szCs w:val="16"/>
    </w:rPr>
  </w:style>
  <w:style w:type="paragraph" w:styleId="CommentText">
    <w:name w:val="annotation text"/>
    <w:basedOn w:val="Normal"/>
    <w:link w:val="CommentTextChar"/>
    <w:uiPriority w:val="99"/>
    <w:unhideWhenUsed/>
    <w:rsid w:val="00915E6B"/>
    <w:rPr>
      <w:sz w:val="20"/>
      <w:szCs w:val="20"/>
    </w:rPr>
  </w:style>
  <w:style w:type="character" w:customStyle="1" w:styleId="CommentTextChar">
    <w:name w:val="Comment Text Char"/>
    <w:basedOn w:val="DefaultParagraphFont"/>
    <w:link w:val="CommentText"/>
    <w:uiPriority w:val="99"/>
    <w:rsid w:val="00915E6B"/>
    <w:rPr>
      <w:sz w:val="20"/>
      <w:szCs w:val="20"/>
    </w:rPr>
  </w:style>
  <w:style w:type="paragraph" w:styleId="CommentSubject">
    <w:name w:val="annotation subject"/>
    <w:basedOn w:val="CommentText"/>
    <w:next w:val="CommentText"/>
    <w:link w:val="CommentSubjectChar"/>
    <w:uiPriority w:val="99"/>
    <w:semiHidden/>
    <w:unhideWhenUsed/>
    <w:rsid w:val="00915E6B"/>
    <w:rPr>
      <w:b/>
      <w:bCs/>
    </w:rPr>
  </w:style>
  <w:style w:type="character" w:customStyle="1" w:styleId="CommentSubjectChar">
    <w:name w:val="Comment Subject Char"/>
    <w:basedOn w:val="CommentTextChar"/>
    <w:link w:val="CommentSubject"/>
    <w:uiPriority w:val="99"/>
    <w:semiHidden/>
    <w:rsid w:val="00915E6B"/>
    <w:rPr>
      <w:b/>
      <w:bCs/>
      <w:sz w:val="20"/>
      <w:szCs w:val="20"/>
    </w:rPr>
  </w:style>
  <w:style w:type="character" w:styleId="Hyperlink">
    <w:name w:val="Hyperlink"/>
    <w:basedOn w:val="DefaultParagraphFont"/>
    <w:uiPriority w:val="99"/>
    <w:unhideWhenUsed/>
    <w:rsid w:val="0013277C"/>
    <w:rPr>
      <w:color w:val="0000FF" w:themeColor="hyperlink"/>
      <w:u w:val="single"/>
    </w:rPr>
  </w:style>
  <w:style w:type="paragraph" w:styleId="FootnoteText">
    <w:name w:val="footnote text"/>
    <w:aliases w:val="Footnote Quote,Footnote Quote1,Footnote Quote2,Footnote Quote3,Footnote Quote4,Footnote Quote5,Footnote Quote6,Footnote Quote7,Footnote Quote8,Footnote Quote9,Footnote Quote10,Footnote Quote11,Footnote Quote12,Footnote Quote13,Texto"/>
    <w:basedOn w:val="Normal"/>
    <w:link w:val="FootnoteTextChar"/>
    <w:uiPriority w:val="99"/>
    <w:unhideWhenUsed/>
    <w:rsid w:val="0013277C"/>
    <w:rPr>
      <w:sz w:val="20"/>
      <w:szCs w:val="20"/>
    </w:rPr>
  </w:style>
  <w:style w:type="character" w:customStyle="1" w:styleId="FootnoteTextChar">
    <w:name w:val="Footnote Text Char"/>
    <w:aliases w:val="Footnote Quote Char,Footnote Quote1 Char,Footnote Quote2 Char,Footnote Quote3 Char,Footnote Quote4 Char,Footnote Quote5 Char,Footnote Quote6 Char,Footnote Quote7 Char,Footnote Quote8 Char,Footnote Quote9 Char,Footnote Quote10 Char"/>
    <w:basedOn w:val="DefaultParagraphFont"/>
    <w:link w:val="FootnoteText"/>
    <w:uiPriority w:val="99"/>
    <w:rsid w:val="0013277C"/>
    <w:rPr>
      <w:sz w:val="20"/>
      <w:szCs w:val="20"/>
    </w:rPr>
  </w:style>
  <w:style w:type="character" w:styleId="FootnoteReference">
    <w:name w:val="footnote reference"/>
    <w:aliases w:val="Footnote Reference (Alt+R),Fn Ref"/>
    <w:basedOn w:val="DefaultParagraphFont"/>
    <w:uiPriority w:val="99"/>
    <w:unhideWhenUsed/>
    <w:qFormat/>
    <w:rsid w:val="0013277C"/>
    <w:rPr>
      <w:vertAlign w:val="superscript"/>
    </w:rPr>
  </w:style>
  <w:style w:type="numbering" w:customStyle="1" w:styleId="Style1">
    <w:name w:val="Style1"/>
    <w:uiPriority w:val="99"/>
    <w:rsid w:val="00365193"/>
    <w:pPr>
      <w:numPr>
        <w:numId w:val="12"/>
      </w:numPr>
    </w:pPr>
  </w:style>
  <w:style w:type="character" w:styleId="FollowedHyperlink">
    <w:name w:val="FollowedHyperlink"/>
    <w:basedOn w:val="DefaultParagraphFont"/>
    <w:uiPriority w:val="99"/>
    <w:semiHidden/>
    <w:unhideWhenUsed/>
    <w:rsid w:val="000336BD"/>
    <w:rPr>
      <w:color w:val="800080" w:themeColor="followedHyperlink"/>
      <w:u w:val="single"/>
    </w:rPr>
  </w:style>
  <w:style w:type="character" w:styleId="EndnoteReference">
    <w:name w:val="endnote reference"/>
    <w:basedOn w:val="DefaultParagraphFont"/>
    <w:uiPriority w:val="99"/>
    <w:semiHidden/>
    <w:unhideWhenUsed/>
    <w:rsid w:val="00DC521C"/>
    <w:rPr>
      <w:vertAlign w:val="superscript"/>
    </w:rPr>
  </w:style>
  <w:style w:type="paragraph" w:styleId="Revision">
    <w:name w:val="Revision"/>
    <w:hidden/>
    <w:uiPriority w:val="99"/>
    <w:semiHidden/>
    <w:rsid w:val="00AA6745"/>
    <w:pPr>
      <w:spacing w:after="0" w:line="240" w:lineRule="auto"/>
    </w:pPr>
  </w:style>
  <w:style w:type="paragraph" w:styleId="TOC1">
    <w:name w:val="toc 1"/>
    <w:basedOn w:val="Normal"/>
    <w:next w:val="Normal"/>
    <w:autoRedefine/>
    <w:uiPriority w:val="39"/>
    <w:unhideWhenUsed/>
    <w:rsid w:val="002C6495"/>
    <w:pPr>
      <w:tabs>
        <w:tab w:val="right" w:leader="dot" w:pos="9016"/>
      </w:tabs>
      <w:spacing w:after="100"/>
      <w:ind w:left="567" w:hanging="567"/>
    </w:pPr>
  </w:style>
  <w:style w:type="paragraph" w:styleId="TOC2">
    <w:name w:val="toc 2"/>
    <w:basedOn w:val="Normal"/>
    <w:next w:val="Normal"/>
    <w:autoRedefine/>
    <w:uiPriority w:val="39"/>
    <w:unhideWhenUsed/>
    <w:rsid w:val="00A14F67"/>
    <w:pPr>
      <w:spacing w:after="100"/>
      <w:ind w:left="240"/>
    </w:pPr>
  </w:style>
  <w:style w:type="paragraph" w:styleId="TOC3">
    <w:name w:val="toc 3"/>
    <w:basedOn w:val="Normal"/>
    <w:next w:val="Normal"/>
    <w:autoRedefine/>
    <w:uiPriority w:val="39"/>
    <w:unhideWhenUsed/>
    <w:rsid w:val="00A14F67"/>
    <w:pPr>
      <w:spacing w:after="100"/>
      <w:ind w:left="480"/>
    </w:pPr>
  </w:style>
  <w:style w:type="paragraph" w:customStyle="1" w:styleId="Un-numberedsubheading">
    <w:name w:val="Un-numbered subheading"/>
    <w:basedOn w:val="BodyText"/>
    <w:link w:val="Un-numberedsubheadingChar"/>
    <w:uiPriority w:val="99"/>
    <w:qFormat/>
    <w:rsid w:val="00FF0B66"/>
    <w:rPr>
      <w:b/>
    </w:rPr>
  </w:style>
  <w:style w:type="paragraph" w:customStyle="1" w:styleId="Sourcereference">
    <w:name w:val="Source reference"/>
    <w:basedOn w:val="Normal"/>
    <w:link w:val="SourcereferenceChar"/>
    <w:qFormat/>
    <w:rsid w:val="00EF3CB6"/>
    <w:pPr>
      <w:spacing w:after="120"/>
    </w:pPr>
    <w:rPr>
      <w:i/>
      <w:sz w:val="20"/>
    </w:rPr>
  </w:style>
  <w:style w:type="character" w:customStyle="1" w:styleId="Un-numberedsubheadingChar">
    <w:name w:val="Un-numbered subheading Char"/>
    <w:basedOn w:val="BodyTextChar"/>
    <w:link w:val="Un-numberedsubheading"/>
    <w:uiPriority w:val="99"/>
    <w:rsid w:val="00FF0B66"/>
    <w:rPr>
      <w:b/>
    </w:rPr>
  </w:style>
  <w:style w:type="character" w:customStyle="1" w:styleId="SourcereferenceChar">
    <w:name w:val="Source reference Char"/>
    <w:basedOn w:val="DefaultParagraphFont"/>
    <w:link w:val="Sourcereference"/>
    <w:rsid w:val="00EF3CB6"/>
    <w:rPr>
      <w:i/>
      <w:sz w:val="20"/>
    </w:rPr>
  </w:style>
  <w:style w:type="paragraph" w:styleId="ListParagraph">
    <w:name w:val="List Paragraph"/>
    <w:basedOn w:val="Normal"/>
    <w:uiPriority w:val="99"/>
    <w:qFormat/>
    <w:rsid w:val="00BC5855"/>
    <w:pPr>
      <w:ind w:left="720"/>
      <w:contextualSpacing/>
    </w:pPr>
  </w:style>
  <w:style w:type="character" w:customStyle="1" w:styleId="UnresolvedMention1">
    <w:name w:val="Unresolved Mention1"/>
    <w:basedOn w:val="DefaultParagraphFont"/>
    <w:uiPriority w:val="99"/>
    <w:semiHidden/>
    <w:unhideWhenUsed/>
    <w:rsid w:val="00895667"/>
    <w:rPr>
      <w:color w:val="605E5C"/>
      <w:shd w:val="clear" w:color="auto" w:fill="E1DFDD"/>
    </w:rPr>
  </w:style>
  <w:style w:type="paragraph" w:customStyle="1" w:styleId="Source">
    <w:name w:val="Source"/>
    <w:basedOn w:val="Sourcereference"/>
    <w:qFormat/>
    <w:rsid w:val="003429F0"/>
    <w:pPr>
      <w:spacing w:after="0"/>
      <w:jc w:val="both"/>
    </w:pPr>
    <w:rPr>
      <w:rFonts w:eastAsia="Calibri"/>
      <w:sz w:val="24"/>
    </w:rPr>
  </w:style>
  <w:style w:type="character" w:customStyle="1" w:styleId="A5">
    <w:name w:val="A5"/>
    <w:uiPriority w:val="99"/>
    <w:rsid w:val="00E979DE"/>
    <w:rPr>
      <w:rFonts w:cs="Gotham Rounded Book"/>
      <w:color w:val="000000"/>
      <w:sz w:val="20"/>
      <w:szCs w:val="20"/>
    </w:rPr>
  </w:style>
  <w:style w:type="paragraph" w:customStyle="1" w:styleId="FootnoteRM">
    <w:name w:val="FootnoteRM"/>
    <w:basedOn w:val="FootnoteText"/>
    <w:link w:val="FootnoteRMChar"/>
    <w:qFormat/>
    <w:rsid w:val="00E979DE"/>
    <w:pPr>
      <w:ind w:left="284" w:hanging="284"/>
    </w:pPr>
    <w:rPr>
      <w:rFonts w:eastAsia="Calibri"/>
    </w:rPr>
  </w:style>
  <w:style w:type="character" w:customStyle="1" w:styleId="FootnoteRMChar">
    <w:name w:val="FootnoteRM Char"/>
    <w:basedOn w:val="FootnoteTextChar"/>
    <w:link w:val="FootnoteRM"/>
    <w:rsid w:val="00E979DE"/>
    <w:rPr>
      <w:rFonts w:eastAsia="Calibri"/>
      <w:sz w:val="20"/>
      <w:szCs w:val="20"/>
    </w:rPr>
  </w:style>
  <w:style w:type="paragraph" w:customStyle="1" w:styleId="Body">
    <w:name w:val="Body"/>
    <w:uiPriority w:val="99"/>
    <w:rsid w:val="00013744"/>
    <w:pPr>
      <w:pBdr>
        <w:top w:val="none" w:sz="96" w:space="31" w:color="FFFFFF" w:frame="1"/>
        <w:left w:val="none" w:sz="96" w:space="31" w:color="FFFFFF" w:frame="1"/>
        <w:bottom w:val="none" w:sz="96" w:space="31" w:color="FFFFFF" w:frame="1"/>
        <w:right w:val="none" w:sz="96" w:space="31" w:color="FFFFFF" w:frame="1"/>
        <w:bar w:val="none" w:sz="0" w:color="000000"/>
      </w:pBdr>
      <w:spacing w:before="120" w:after="0"/>
    </w:pPr>
    <w:rPr>
      <w:rFonts w:eastAsia="Arial Unicode MS" w:hAnsi="Arial Unicode MS" w:cs="Arial Unicode MS"/>
      <w:color w:val="000000"/>
      <w:u w:color="000000"/>
      <w:lang w:val="fr-FR"/>
    </w:rPr>
  </w:style>
  <w:style w:type="character" w:customStyle="1" w:styleId="Hyperlink0">
    <w:name w:val="Hyperlink.0"/>
    <w:uiPriority w:val="99"/>
    <w:rsid w:val="003327CE"/>
    <w:rPr>
      <w:rFonts w:cs="Times New Roman"/>
      <w:color w:val="0000FF"/>
      <w:u w:val="single" w:color="0000FF"/>
    </w:rPr>
  </w:style>
  <w:style w:type="table" w:customStyle="1" w:styleId="TableGrid1">
    <w:name w:val="Table Grid1"/>
    <w:basedOn w:val="TableNormal"/>
    <w:next w:val="TableGrid"/>
    <w:uiPriority w:val="59"/>
    <w:rsid w:val="003327CE"/>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C42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5278349">
      <w:bodyDiv w:val="1"/>
      <w:marLeft w:val="0"/>
      <w:marRight w:val="0"/>
      <w:marTop w:val="0"/>
      <w:marBottom w:val="0"/>
      <w:divBdr>
        <w:top w:val="none" w:sz="0" w:space="0" w:color="auto"/>
        <w:left w:val="none" w:sz="0" w:space="0" w:color="auto"/>
        <w:bottom w:val="none" w:sz="0" w:space="0" w:color="auto"/>
        <w:right w:val="none" w:sz="0" w:space="0" w:color="auto"/>
      </w:divBdr>
    </w:div>
    <w:div w:id="936600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2.xml"/><Relationship Id="rId18" Type="http://schemas.openxmlformats.org/officeDocument/2006/relationships/chart" Target="charts/chart7.xml"/><Relationship Id="rId26" Type="http://schemas.openxmlformats.org/officeDocument/2006/relationships/chart" Target="charts/chart14.xml"/><Relationship Id="rId3" Type="http://schemas.openxmlformats.org/officeDocument/2006/relationships/styles" Target="styles.xml"/><Relationship Id="rId21" Type="http://schemas.openxmlformats.org/officeDocument/2006/relationships/chart" Target="charts/chart10.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chart" Target="charts/chart6.xml"/><Relationship Id="rId25" Type="http://schemas.openxmlformats.org/officeDocument/2006/relationships/chart" Target="charts/chart13.xml"/><Relationship Id="rId2" Type="http://schemas.openxmlformats.org/officeDocument/2006/relationships/numbering" Target="numbering.xml"/><Relationship Id="rId16" Type="http://schemas.openxmlformats.org/officeDocument/2006/relationships/chart" Target="charts/chart5.xml"/><Relationship Id="rId20" Type="http://schemas.openxmlformats.org/officeDocument/2006/relationships/chart" Target="charts/chart9.xm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24" Type="http://schemas.openxmlformats.org/officeDocument/2006/relationships/hyperlink" Target="https://www.um.edu.mt/about/uom/facts"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hart" Target="charts/chart4.xml"/><Relationship Id="rId23" Type="http://schemas.openxmlformats.org/officeDocument/2006/relationships/chart" Target="charts/chart12.xml"/><Relationship Id="rId28" Type="http://schemas.openxmlformats.org/officeDocument/2006/relationships/chart" Target="charts/chart16.xml"/><Relationship Id="rId10" Type="http://schemas.openxmlformats.org/officeDocument/2006/relationships/image" Target="media/image2.jpg"/><Relationship Id="rId19" Type="http://schemas.openxmlformats.org/officeDocument/2006/relationships/chart" Target="charts/chart8.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disability-europe.net/" TargetMode="External"/><Relationship Id="rId14" Type="http://schemas.openxmlformats.org/officeDocument/2006/relationships/chart" Target="charts/chart3.xml"/><Relationship Id="rId22" Type="http://schemas.openxmlformats.org/officeDocument/2006/relationships/chart" Target="charts/chart11.xml"/><Relationship Id="rId27" Type="http://schemas.openxmlformats.org/officeDocument/2006/relationships/chart" Target="charts/chart15.xml"/><Relationship Id="rId30" Type="http://schemas.openxmlformats.org/officeDocument/2006/relationships/footer" Target="footer1.xml"/></Relationships>
</file>

<file path=word/_rels/footnotes.xml.rels><?xml version="1.0" encoding="UTF-8" standalone="yes"?>
<Relationships xmlns="http://schemas.openxmlformats.org/package/2006/relationships"><Relationship Id="rId13" Type="http://schemas.openxmlformats.org/officeDocument/2006/relationships/hyperlink" Target="http://www.knpd.org/pubs/20120918ESF3105execsumENG.pdf" TargetMode="External"/><Relationship Id="rId18" Type="http://schemas.openxmlformats.org/officeDocument/2006/relationships/hyperlink" Target="https://jobsplus.gov.mt/resources/publication-statistics-mt-mt-en-gb/publications/annual-reports" TargetMode="External"/><Relationship Id="rId26" Type="http://schemas.openxmlformats.org/officeDocument/2006/relationships/hyperlink" Target="https://www.european-agency.org/country-information/malta/national-overview/complete-national-overview" TargetMode="External"/><Relationship Id="rId39" Type="http://schemas.openxmlformats.org/officeDocument/2006/relationships/hyperlink" Target="https://www.timesofmalta.com/articles/view/20141114/local/updated-alternative-learning-programme-timebomb-ready-to-explode-mut.544016" TargetMode="External"/><Relationship Id="rId21" Type="http://schemas.openxmlformats.org/officeDocument/2006/relationships/hyperlink" Target="https://jobsplus.gov.mt/resources/publication-statistics-mt-mt-en-gb/publications/annual-reports" TargetMode="External"/><Relationship Id="rId34" Type="http://schemas.openxmlformats.org/officeDocument/2006/relationships/hyperlink" Target="https://fsws.gov.mt/en/Pages/default.aspx" TargetMode="External"/><Relationship Id="rId42" Type="http://schemas.openxmlformats.org/officeDocument/2006/relationships/hyperlink" Target="https://education.gov.mt/en/Pages/National-Skills-Council.aspx" TargetMode="External"/><Relationship Id="rId47" Type="http://schemas.openxmlformats.org/officeDocument/2006/relationships/hyperlink" Target="http://crpd.org.mt/wp-content/uploads/2016/04/001-indsupliv2011rpt.pdf" TargetMode="External"/><Relationship Id="rId50" Type="http://schemas.openxmlformats.org/officeDocument/2006/relationships/hyperlink" Target="https://family.gov.mt/en/DSWS/Pages/Disability/National-Standards-for-Residential-Services-for-Persons-with-Disabilities.aspx" TargetMode="External"/><Relationship Id="rId55" Type="http://schemas.openxmlformats.org/officeDocument/2006/relationships/hyperlink" Target="https://activeageing.gov.mt/Elderly-and-Community%20Care-Services-Information/Pages/default.aspx" TargetMode="External"/><Relationship Id="rId63" Type="http://schemas.openxmlformats.org/officeDocument/2006/relationships/hyperlink" Target="https://nso.gov.mt/en/News_Releases/View_by_Unit/Unit_C2/Labour_Market_Statistics/Documents/2018/News2018_028.pdf" TargetMode="External"/><Relationship Id="rId7" Type="http://schemas.openxmlformats.org/officeDocument/2006/relationships/hyperlink" Target="https://nso.gov.mt/en/News_Releases/View_by_Unit/Unit_C2/Labour_Market_Statistics/Pages/Labour-Force-Survey.aspx" TargetMode="External"/><Relationship Id="rId2" Type="http://schemas.openxmlformats.org/officeDocument/2006/relationships/hyperlink" Target="http://www.disability-europe.net/theme/statistical-indicators" TargetMode="External"/><Relationship Id="rId16" Type="http://schemas.openxmlformats.org/officeDocument/2006/relationships/hyperlink" Target="https://jobsplus.gov.mt/employers-mt-MT-en-GB/employing-persons/fileprovider.aspx?fileId=1719" TargetMode="External"/><Relationship Id="rId20" Type="http://schemas.openxmlformats.org/officeDocument/2006/relationships/hyperlink" Target="https://jobsplus.gov.mt/resources/publication-statistics-mt-mt-en-gb/publications/annual-reports" TargetMode="External"/><Relationship Id="rId29" Type="http://schemas.openxmlformats.org/officeDocument/2006/relationships/hyperlink" Target="https://lifelonglearning.gov.mt/articles/Strategies.aspx" TargetMode="External"/><Relationship Id="rId41" Type="http://schemas.openxmlformats.org/officeDocument/2006/relationships/hyperlink" Target="http://www.justiceservices.gov.mt/DownloadDocument.aspx?app=lom&amp;itemid=12557&amp;l=1" TargetMode="External"/><Relationship Id="rId54" Type="http://schemas.openxmlformats.org/officeDocument/2006/relationships/hyperlink" Target="https://issuu.com/partitnazzjonalista/docs/programm-elettorali" TargetMode="External"/><Relationship Id="rId62" Type="http://schemas.openxmlformats.org/officeDocument/2006/relationships/hyperlink" Target="http://www.disability-europe.net/theme/statistical-indicators" TargetMode="External"/><Relationship Id="rId1" Type="http://schemas.openxmlformats.org/officeDocument/2006/relationships/hyperlink" Target="http://ec.europa.eu/eurostat/documents/4411192/4411431/Europe_2020_Targets.pdf" TargetMode="External"/><Relationship Id="rId6" Type="http://schemas.openxmlformats.org/officeDocument/2006/relationships/hyperlink" Target="https://www.disability-europe.net/theme/statistical-indicators" TargetMode="External"/><Relationship Id="rId11" Type="http://schemas.openxmlformats.org/officeDocument/2006/relationships/hyperlink" Target="https://www.um.edu.mt/__data/assets/pdf_file/.../Reportonoverprotectionresearch.pdf" TargetMode="External"/><Relationship Id="rId24" Type="http://schemas.openxmlformats.org/officeDocument/2006/relationships/hyperlink" Target="https://ec.europa.eu/info/publications/2018-european-semester-country-reports_en" TargetMode="External"/><Relationship Id="rId32" Type="http://schemas.openxmlformats.org/officeDocument/2006/relationships/hyperlink" Target="http://www.agenzijazghazagh.gov.mt" TargetMode="External"/><Relationship Id="rId37" Type="http://schemas.openxmlformats.org/officeDocument/2006/relationships/hyperlink" Target="https://education.gov.mt/en/youthguarantee/Documents/Neets%20FINAL%20REPORT_ETC.pdf" TargetMode="External"/><Relationship Id="rId40" Type="http://schemas.openxmlformats.org/officeDocument/2006/relationships/hyperlink" Target="http://www.inclusive-education-in-action.org/iea/index.php?menuid=25&amp;reporeid=283" TargetMode="External"/><Relationship Id="rId45" Type="http://schemas.openxmlformats.org/officeDocument/2006/relationships/hyperlink" Target="http://justiceservices.gov.mt/DownloadDocument.aspx?app=lom&amp;itemid=8794" TargetMode="External"/><Relationship Id="rId53" Type="http://schemas.openxmlformats.org/officeDocument/2006/relationships/hyperlink" Target="https://www.um.edu.mt/__data/assets/pdf_file/0017/207350/PNManifesto2013.pdf" TargetMode="External"/><Relationship Id="rId58" Type="http://schemas.openxmlformats.org/officeDocument/2006/relationships/hyperlink" Target="https://sapport.gov.mt/en/About-Us/Pages/EU-Projects.aspx" TargetMode="External"/><Relationship Id="rId66" Type="http://schemas.openxmlformats.org/officeDocument/2006/relationships/hyperlink" Target="http://www.knpd.org/pubs/pdf/Research%20Report%20Pt%202%20Analysis%20Tables.pdf" TargetMode="External"/><Relationship Id="rId5" Type="http://schemas.openxmlformats.org/officeDocument/2006/relationships/hyperlink" Target="https://activeageing.gov.mt/en/Pages/Malta-National-Disability-Strategy.aspx" TargetMode="External"/><Relationship Id="rId15" Type="http://schemas.openxmlformats.org/officeDocument/2006/relationships/hyperlink" Target="http://www.maltatoday.com.mt/news/budget_2015/46277/employers_concerned_over_disability_quota" TargetMode="External"/><Relationship Id="rId23" Type="http://schemas.openxmlformats.org/officeDocument/2006/relationships/hyperlink" Target="https://sapport.gov.mt/en/Pages/JESS%20Beneficiaries.aspx" TargetMode="External"/><Relationship Id="rId28" Type="http://schemas.openxmlformats.org/officeDocument/2006/relationships/hyperlink" Target="https://www.um.edu.mt/access" TargetMode="External"/><Relationship Id="rId36" Type="http://schemas.openxmlformats.org/officeDocument/2006/relationships/hyperlink" Target="http://www.mcast.edu.mt/154" TargetMode="External"/><Relationship Id="rId49" Type="http://schemas.openxmlformats.org/officeDocument/2006/relationships/hyperlink" Target="https://activeageing.gov.mt/en/Documents/SOCIAL%20POLICY%20WEB.pdf" TargetMode="External"/><Relationship Id="rId57" Type="http://schemas.openxmlformats.org/officeDocument/2006/relationships/hyperlink" Target="https://parlament.mt/media/37392/act-vii-various-laws-personswith-disability-membership-in-various-entities-act-2015.pdf" TargetMode="External"/><Relationship Id="rId61" Type="http://schemas.openxmlformats.org/officeDocument/2006/relationships/hyperlink" Target="http://epp.eurostat.ec.europa.eu/statistics_explained/index.php/Glossary:Minimum_European_Health_Module_(MEHM)" TargetMode="External"/><Relationship Id="rId10" Type="http://schemas.openxmlformats.org/officeDocument/2006/relationships/hyperlink" Target="http://crpd.org.mt/research" TargetMode="External"/><Relationship Id="rId19" Type="http://schemas.openxmlformats.org/officeDocument/2006/relationships/hyperlink" Target="https://jobsplus.gov.mt" TargetMode="External"/><Relationship Id="rId31" Type="http://schemas.openxmlformats.org/officeDocument/2006/relationships/hyperlink" Target="https://eacea.ec.europa.eu/national-policies/en/content/youthwiki/63-preventing-early-leaving-education-and-training-elet-malta" TargetMode="External"/><Relationship Id="rId44" Type="http://schemas.openxmlformats.org/officeDocument/2006/relationships/hyperlink" Target="https://socialsecurity.gov.mt" TargetMode="External"/><Relationship Id="rId52" Type="http://schemas.openxmlformats.org/officeDocument/2006/relationships/hyperlink" Target="https://family.gov.mt/en/DSWS/Pages/Disability/National-Standards-for-Residential-Services-for-Persons-with-Disabilities.aspx" TargetMode="External"/><Relationship Id="rId60" Type="http://schemas.openxmlformats.org/officeDocument/2006/relationships/hyperlink" Target="https://www.mca.org.mt/initiatives/assistive-technology-centres" TargetMode="External"/><Relationship Id="rId65" Type="http://schemas.openxmlformats.org/officeDocument/2006/relationships/hyperlink" Target="https://nso.gov.mt/en/publicatons/Publications_by_Unit/Documents/01_Methodology_and_Research/Census2011_FinalReport.pdf" TargetMode="External"/><Relationship Id="rId4" Type="http://schemas.openxmlformats.org/officeDocument/2006/relationships/hyperlink" Target="https://activeageing.gov.mt/en/Documents/Book%20design%20english.pdf" TargetMode="External"/><Relationship Id="rId9" Type="http://schemas.openxmlformats.org/officeDocument/2006/relationships/hyperlink" Target="https://www.um.edu.mt/__data/assets/pdf_file/.../Reportonoverprotectionresearch.pdf" TargetMode="External"/><Relationship Id="rId14" Type="http://schemas.openxmlformats.org/officeDocument/2006/relationships/hyperlink" Target="https://ec.europa.eu/info/2018-european-semester-national-reform-programmes-and-stability-convergence-programmes_en" TargetMode="External"/><Relationship Id="rId22" Type="http://schemas.openxmlformats.org/officeDocument/2006/relationships/hyperlink" Target="https://jobsplus.gov.mt/resources/publication-statistics-mt-mt-en-gb/publications/annual-reports" TargetMode="External"/><Relationship Id="rId27" Type="http://schemas.openxmlformats.org/officeDocument/2006/relationships/hyperlink" Target="https://education.gov.mt/en/education/student-services/Pages/Special_Education/Special-Education.aspx" TargetMode="External"/><Relationship Id="rId30" Type="http://schemas.openxmlformats.org/officeDocument/2006/relationships/hyperlink" Target="https://education.gov.mt/en/resources/News/Documents/Youth%20Guarantee%20Implementation%20Plan%20-%20Malta.pdf" TargetMode="External"/><Relationship Id="rId35" Type="http://schemas.openxmlformats.org/officeDocument/2006/relationships/hyperlink" Target="https://eacea.ec.europa.eu/national-policies/en/content/youthwiki/63-preventing-early-leaving-education-and-training-elet-malta" TargetMode="External"/><Relationship Id="rId43" Type="http://schemas.openxmlformats.org/officeDocument/2006/relationships/hyperlink" Target="https://parlament.mt/media/37392/act-vii-various-laws-personswith-disability-membership-in-various-entities-act-2015.pdf" TargetMode="External"/><Relationship Id="rId48" Type="http://schemas.openxmlformats.org/officeDocument/2006/relationships/hyperlink" Target="http://tbinternet.ohchr.org/_layouts/treatybodyexternal/Download.aspx?symbolno=CRPD/C/GC/5&amp;Lang=en" TargetMode="External"/><Relationship Id="rId56" Type="http://schemas.openxmlformats.org/officeDocument/2006/relationships/hyperlink" Target="https://family.gov.mt/financial-education/implementation-group/Pages/The-Strategy-for-Retirement-and-Financial-Capability.aspx" TargetMode="External"/><Relationship Id="rId64" Type="http://schemas.openxmlformats.org/officeDocument/2006/relationships/hyperlink" Target="http://www.knpd.org/Issues/research.html" TargetMode="External"/><Relationship Id="rId8" Type="http://schemas.openxmlformats.org/officeDocument/2006/relationships/hyperlink" Target="https://nso.gov.mt/en/News_Releases/View_by_Unit/Unit_C2/Labour_Market_Statistics/Documents/2018/News2018_028.pdf" TargetMode="External"/><Relationship Id="rId51" Type="http://schemas.openxmlformats.org/officeDocument/2006/relationships/hyperlink" Target="https://activeageing.gov.mt/en/Documents/Book%20design%20english.pdf" TargetMode="External"/><Relationship Id="rId3" Type="http://schemas.openxmlformats.org/officeDocument/2006/relationships/hyperlink" Target="https://tbinternet.ohchr.org/_layouts/treatybodyexternal/Download.aspx?symbolno=CRPD%2fC%2fMLT%2fCO%2f1&amp;Lang=en" TargetMode="External"/><Relationship Id="rId12" Type="http://schemas.openxmlformats.org/officeDocument/2006/relationships/hyperlink" Target="https://www.um.edu.mt/library/oar/handle/123456789/17497" TargetMode="External"/><Relationship Id="rId17" Type="http://schemas.openxmlformats.org/officeDocument/2006/relationships/hyperlink" Target="https://jobsplus.gov.mt/resources/publication-statistics-mt-mt-en-gb/publications/annual-reports" TargetMode="External"/><Relationship Id="rId25" Type="http://schemas.openxmlformats.org/officeDocument/2006/relationships/hyperlink" Target="https://ec.europa.eu/info/publications/2018-european-semester-country-specific-recommendations-commission-recommendations_en" TargetMode="External"/><Relationship Id="rId33" Type="http://schemas.openxmlformats.org/officeDocument/2006/relationships/hyperlink" Target="https://education.gov.mt/en/resources/News/Documents/Youth%20Guarantee%20Implementation%20Plan%20-%20Malta.pdf" TargetMode="External"/><Relationship Id="rId38" Type="http://schemas.openxmlformats.org/officeDocument/2006/relationships/hyperlink" Target="https://www.um.edu.mt/about/uom/facts" TargetMode="External"/><Relationship Id="rId46" Type="http://schemas.openxmlformats.org/officeDocument/2006/relationships/hyperlink" Target="https://mfin.gov.mt/en/The-Budget/Pages/The-Budget-2018.aspx" TargetMode="External"/><Relationship Id="rId59" Type="http://schemas.openxmlformats.org/officeDocument/2006/relationships/hyperlink" Target="https://sapport.gov.mt/en/About-Us/Pages/EU-Projects.aspx"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10.xml.rels><?xml version="1.0" encoding="UTF-8" standalone="yes"?>
<Relationships xmlns="http://schemas.openxmlformats.org/package/2006/relationships"><Relationship Id="rId2" Type="http://schemas.openxmlformats.org/officeDocument/2006/relationships/package" Target="../embeddings/Microsoft_Excel_Worksheet9.xlsx"/><Relationship Id="rId1" Type="http://schemas.openxmlformats.org/officeDocument/2006/relationships/themeOverride" Target="../theme/themeOverride7.xml"/></Relationships>
</file>

<file path=word/charts/_rels/chart11.xml.rels><?xml version="1.0" encoding="UTF-8" standalone="yes"?>
<Relationships xmlns="http://schemas.openxmlformats.org/package/2006/relationships"><Relationship Id="rId1" Type="http://schemas.openxmlformats.org/officeDocument/2006/relationships/package" Target="../embeddings/Microsoft_Excel_Worksheet10.xlsx"/></Relationships>
</file>

<file path=word/charts/_rels/chart12.xml.rels><?xml version="1.0" encoding="UTF-8" standalone="yes"?>
<Relationships xmlns="http://schemas.openxmlformats.org/package/2006/relationships"><Relationship Id="rId2" Type="http://schemas.openxmlformats.org/officeDocument/2006/relationships/package" Target="../embeddings/Microsoft_Excel_Worksheet11.xlsx"/><Relationship Id="rId1" Type="http://schemas.openxmlformats.org/officeDocument/2006/relationships/themeOverride" Target="../theme/themeOverride8.xml"/></Relationships>
</file>

<file path=word/charts/_rels/chart13.xml.rels><?xml version="1.0" encoding="UTF-8" standalone="yes"?>
<Relationships xmlns="http://schemas.openxmlformats.org/package/2006/relationships"><Relationship Id="rId1" Type="http://schemas.openxmlformats.org/officeDocument/2006/relationships/package" Target="../embeddings/Microsoft_Excel_Worksheet12.xlsx"/></Relationships>
</file>

<file path=word/charts/_rels/chart14.xml.rels><?xml version="1.0" encoding="UTF-8" standalone="yes"?>
<Relationships xmlns="http://schemas.openxmlformats.org/package/2006/relationships"><Relationship Id="rId2" Type="http://schemas.openxmlformats.org/officeDocument/2006/relationships/package" Target="../embeddings/Microsoft_Excel_Worksheet13.xlsx"/><Relationship Id="rId1" Type="http://schemas.openxmlformats.org/officeDocument/2006/relationships/themeOverride" Target="../theme/themeOverride9.xml"/></Relationships>
</file>

<file path=word/charts/_rels/chart15.xml.rels><?xml version="1.0" encoding="UTF-8" standalone="yes"?>
<Relationships xmlns="http://schemas.openxmlformats.org/package/2006/relationships"><Relationship Id="rId2" Type="http://schemas.openxmlformats.org/officeDocument/2006/relationships/package" Target="../embeddings/Microsoft_Excel_Worksheet14.xlsx"/><Relationship Id="rId1" Type="http://schemas.openxmlformats.org/officeDocument/2006/relationships/themeOverride" Target="../theme/themeOverride10.xml"/></Relationships>
</file>

<file path=word/charts/_rels/chart16.xml.rels><?xml version="1.0" encoding="UTF-8" standalone="yes"?>
<Relationships xmlns="http://schemas.openxmlformats.org/package/2006/relationships"><Relationship Id="rId1" Type="http://schemas.openxmlformats.org/officeDocument/2006/relationships/package" Target="../embeddings/Microsoft_Excel_Worksheet15.xlsx"/></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2.xml"/></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Excel_Worksheet5.xlsx"/><Relationship Id="rId1" Type="http://schemas.openxmlformats.org/officeDocument/2006/relationships/themeOverride" Target="../theme/themeOverride3.xml"/></Relationships>
</file>

<file path=word/charts/_rels/chart7.xml.rels><?xml version="1.0" encoding="UTF-8" standalone="yes"?>
<Relationships xmlns="http://schemas.openxmlformats.org/package/2006/relationships"><Relationship Id="rId2" Type="http://schemas.openxmlformats.org/officeDocument/2006/relationships/package" Target="../embeddings/Microsoft_Excel_Worksheet6.xlsx"/><Relationship Id="rId1" Type="http://schemas.openxmlformats.org/officeDocument/2006/relationships/themeOverride" Target="../theme/themeOverride4.xml"/></Relationships>
</file>

<file path=word/charts/_rels/chart8.xml.rels><?xml version="1.0" encoding="UTF-8" standalone="yes"?>
<Relationships xmlns="http://schemas.openxmlformats.org/package/2006/relationships"><Relationship Id="rId2" Type="http://schemas.openxmlformats.org/officeDocument/2006/relationships/package" Target="../embeddings/Microsoft_Excel_Worksheet7.xlsx"/><Relationship Id="rId1" Type="http://schemas.openxmlformats.org/officeDocument/2006/relationships/themeOverride" Target="../theme/themeOverride5.xml"/></Relationships>
</file>

<file path=word/charts/_rels/chart9.xml.rels><?xml version="1.0" encoding="UTF-8" standalone="yes"?>
<Relationships xmlns="http://schemas.openxmlformats.org/package/2006/relationships"><Relationship Id="rId2" Type="http://schemas.openxmlformats.org/officeDocument/2006/relationships/package" Target="../embeddings/Microsoft_Excel_Worksheet8.xlsx"/><Relationship Id="rId1" Type="http://schemas.openxmlformats.org/officeDocument/2006/relationships/themeOverride" Target="../theme/themeOverrid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barChart>
        <c:barDir val="bar"/>
        <c:grouping val="clustered"/>
        <c:varyColors val="0"/>
        <c:ser>
          <c:idx val="0"/>
          <c:order val="0"/>
          <c:tx>
            <c:strRef>
              <c:f>Sheet1!$B$1</c:f>
              <c:strCache>
                <c:ptCount val="1"/>
                <c:pt idx="0">
                  <c:v>EU average</c:v>
                </c:pt>
              </c:strCache>
            </c:strRef>
          </c:tx>
          <c:invertIfNegative val="0"/>
          <c:cat>
            <c:strRef>
              <c:f>Sheet1!$A$2:$A$9</c:f>
              <c:strCache>
                <c:ptCount val="8"/>
                <c:pt idx="0">
                  <c:v>Not limited</c:v>
                </c:pt>
                <c:pt idx="1">
                  <c:v>All limited</c:v>
                </c:pt>
                <c:pt idx="2">
                  <c:v>Strongly limited</c:v>
                </c:pt>
                <c:pt idx="3">
                  <c:v>Limited to some extent</c:v>
                </c:pt>
                <c:pt idx="4">
                  <c:v>Men</c:v>
                </c:pt>
                <c:pt idx="5">
                  <c:v>Women</c:v>
                </c:pt>
                <c:pt idx="6">
                  <c:v>Age 16-64</c:v>
                </c:pt>
                <c:pt idx="7">
                  <c:v>Age 65+</c:v>
                </c:pt>
              </c:strCache>
            </c:strRef>
          </c:cat>
          <c:val>
            <c:numRef>
              <c:f>Sheet1!$B$2:$B$9</c:f>
              <c:numCache>
                <c:formatCode>0.0</c:formatCode>
                <c:ptCount val="8"/>
                <c:pt idx="0">
                  <c:v>75.900000000000006</c:v>
                </c:pt>
                <c:pt idx="1">
                  <c:v>24.1</c:v>
                </c:pt>
                <c:pt idx="2">
                  <c:v>7.46</c:v>
                </c:pt>
                <c:pt idx="3">
                  <c:v>16.64</c:v>
                </c:pt>
                <c:pt idx="4">
                  <c:v>21.76</c:v>
                </c:pt>
                <c:pt idx="5">
                  <c:v>26.28</c:v>
                </c:pt>
                <c:pt idx="6">
                  <c:v>16.989999999999998</c:v>
                </c:pt>
                <c:pt idx="7">
                  <c:v>47.49</c:v>
                </c:pt>
              </c:numCache>
            </c:numRef>
          </c:val>
          <c:extLst>
            <c:ext xmlns:c16="http://schemas.microsoft.com/office/drawing/2014/chart" uri="{C3380CC4-5D6E-409C-BE32-E72D297353CC}">
              <c16:uniqueId val="{00000000-6272-4BF6-8C04-EF0E7EFA2FF4}"/>
            </c:ext>
          </c:extLst>
        </c:ser>
        <c:ser>
          <c:idx val="1"/>
          <c:order val="1"/>
          <c:tx>
            <c:strRef>
              <c:f>Sheet1!$C$1</c:f>
              <c:strCache>
                <c:ptCount val="1"/>
                <c:pt idx="0">
                  <c:v>National average</c:v>
                </c:pt>
              </c:strCache>
            </c:strRef>
          </c:tx>
          <c:invertIfNegative val="0"/>
          <c:cat>
            <c:strRef>
              <c:f>Sheet1!$A$2:$A$9</c:f>
              <c:strCache>
                <c:ptCount val="8"/>
                <c:pt idx="0">
                  <c:v>Not limited</c:v>
                </c:pt>
                <c:pt idx="1">
                  <c:v>All limited</c:v>
                </c:pt>
                <c:pt idx="2">
                  <c:v>Strongly limited</c:v>
                </c:pt>
                <c:pt idx="3">
                  <c:v>Limited to some extent</c:v>
                </c:pt>
                <c:pt idx="4">
                  <c:v>Men</c:v>
                </c:pt>
                <c:pt idx="5">
                  <c:v>Women</c:v>
                </c:pt>
                <c:pt idx="6">
                  <c:v>Age 16-64</c:v>
                </c:pt>
                <c:pt idx="7">
                  <c:v>Age 65+</c:v>
                </c:pt>
              </c:strCache>
            </c:strRef>
          </c:cat>
          <c:val>
            <c:numRef>
              <c:f>Sheet1!$C$2:$C$9</c:f>
              <c:numCache>
                <c:formatCode>0.0</c:formatCode>
                <c:ptCount val="8"/>
                <c:pt idx="0">
                  <c:v>87.11</c:v>
                </c:pt>
                <c:pt idx="1">
                  <c:v>12.89</c:v>
                </c:pt>
                <c:pt idx="2">
                  <c:v>3.53</c:v>
                </c:pt>
                <c:pt idx="3">
                  <c:v>9.36</c:v>
                </c:pt>
                <c:pt idx="4">
                  <c:v>12.16</c:v>
                </c:pt>
                <c:pt idx="5">
                  <c:v>13.62</c:v>
                </c:pt>
                <c:pt idx="6">
                  <c:v>7.22</c:v>
                </c:pt>
                <c:pt idx="7">
                  <c:v>33.520000000000003</c:v>
                </c:pt>
              </c:numCache>
            </c:numRef>
          </c:val>
          <c:extLst>
            <c:ext xmlns:c16="http://schemas.microsoft.com/office/drawing/2014/chart" uri="{C3380CC4-5D6E-409C-BE32-E72D297353CC}">
              <c16:uniqueId val="{00000001-6272-4BF6-8C04-EF0E7EFA2FF4}"/>
            </c:ext>
          </c:extLst>
        </c:ser>
        <c:dLbls>
          <c:showLegendKey val="0"/>
          <c:showVal val="0"/>
          <c:showCatName val="0"/>
          <c:showSerName val="0"/>
          <c:showPercent val="0"/>
          <c:showBubbleSize val="0"/>
        </c:dLbls>
        <c:gapWidth val="150"/>
        <c:axId val="84316160"/>
        <c:axId val="84317696"/>
      </c:barChart>
      <c:catAx>
        <c:axId val="84316160"/>
        <c:scaling>
          <c:orientation val="maxMin"/>
        </c:scaling>
        <c:delete val="0"/>
        <c:axPos val="l"/>
        <c:numFmt formatCode="General" sourceLinked="1"/>
        <c:majorTickMark val="none"/>
        <c:minorTickMark val="none"/>
        <c:tickLblPos val="nextTo"/>
        <c:crossAx val="84317696"/>
        <c:crosses val="autoZero"/>
        <c:auto val="1"/>
        <c:lblAlgn val="ctr"/>
        <c:lblOffset val="100"/>
        <c:noMultiLvlLbl val="0"/>
      </c:catAx>
      <c:valAx>
        <c:axId val="84317696"/>
        <c:scaling>
          <c:orientation val="minMax"/>
        </c:scaling>
        <c:delete val="0"/>
        <c:axPos val="t"/>
        <c:majorGridlines/>
        <c:title>
          <c:tx>
            <c:rich>
              <a:bodyPr/>
              <a:lstStyle/>
              <a:p>
                <a:pPr>
                  <a:defRPr/>
                </a:pPr>
                <a:r>
                  <a:rPr lang="en-GB"/>
                  <a:t>%</a:t>
                </a:r>
              </a:p>
            </c:rich>
          </c:tx>
          <c:overlay val="0"/>
        </c:title>
        <c:numFmt formatCode="0.0" sourceLinked="1"/>
        <c:majorTickMark val="none"/>
        <c:minorTickMark val="none"/>
        <c:tickLblPos val="nextTo"/>
        <c:crossAx val="84316160"/>
        <c:crosses val="autoZero"/>
        <c:crossBetween val="between"/>
      </c:valAx>
      <c:dTable>
        <c:showHorzBorder val="1"/>
        <c:showVertBorder val="1"/>
        <c:showOutline val="1"/>
        <c:showKeys val="1"/>
      </c:dTable>
    </c:plotArea>
    <c:plotVisOnly val="1"/>
    <c:dispBlanksAs val="gap"/>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GB" sz="1600"/>
              <a:t>Trends in economic activity rates</a:t>
            </a:r>
          </a:p>
        </c:rich>
      </c:tx>
      <c:overlay val="0"/>
    </c:title>
    <c:autoTitleDeleted val="0"/>
    <c:plotArea>
      <c:layout/>
      <c:lineChart>
        <c:grouping val="standard"/>
        <c:varyColors val="0"/>
        <c:ser>
          <c:idx val="0"/>
          <c:order val="0"/>
          <c:tx>
            <c:strRef>
              <c:f>Sheet1!$B$1</c:f>
              <c:strCache>
                <c:ptCount val="1"/>
                <c:pt idx="0">
                  <c:v>National (disabled)</c:v>
                </c:pt>
              </c:strCache>
            </c:strRef>
          </c:tx>
          <c:trendline>
            <c:trendlineType val="linear"/>
            <c:dispRSqr val="0"/>
            <c:dispEq val="0"/>
          </c:trendline>
          <c:cat>
            <c:numRef>
              <c:f>Sheet1!$A$2:$A$10</c:f>
              <c:numCache>
                <c:formatCode>General</c:formatCode>
                <c:ptCount val="9"/>
                <c:pt idx="0">
                  <c:v>2008</c:v>
                </c:pt>
                <c:pt idx="1">
                  <c:v>2009</c:v>
                </c:pt>
                <c:pt idx="2">
                  <c:v>2010</c:v>
                </c:pt>
                <c:pt idx="3">
                  <c:v>2011</c:v>
                </c:pt>
                <c:pt idx="4">
                  <c:v>2012</c:v>
                </c:pt>
                <c:pt idx="5">
                  <c:v>2013</c:v>
                </c:pt>
                <c:pt idx="6">
                  <c:v>2014</c:v>
                </c:pt>
                <c:pt idx="7">
                  <c:v>2015</c:v>
                </c:pt>
                <c:pt idx="8">
                  <c:v>2016</c:v>
                </c:pt>
              </c:numCache>
            </c:numRef>
          </c:cat>
          <c:val>
            <c:numRef>
              <c:f>Sheet1!$B$2:$B$10</c:f>
              <c:numCache>
                <c:formatCode>0.0</c:formatCode>
                <c:ptCount val="9"/>
                <c:pt idx="1">
                  <c:v>38.799999999999997</c:v>
                </c:pt>
                <c:pt idx="2">
                  <c:v>34.9</c:v>
                </c:pt>
                <c:pt idx="3">
                  <c:v>36.5</c:v>
                </c:pt>
                <c:pt idx="4">
                  <c:v>27.1</c:v>
                </c:pt>
                <c:pt idx="5">
                  <c:v>35.799999999999997</c:v>
                </c:pt>
                <c:pt idx="6">
                  <c:v>34.700000000000003</c:v>
                </c:pt>
                <c:pt idx="7">
                  <c:v>31.3</c:v>
                </c:pt>
                <c:pt idx="8">
                  <c:v>33.86</c:v>
                </c:pt>
              </c:numCache>
            </c:numRef>
          </c:val>
          <c:smooth val="0"/>
          <c:extLst>
            <c:ext xmlns:c16="http://schemas.microsoft.com/office/drawing/2014/chart" uri="{C3380CC4-5D6E-409C-BE32-E72D297353CC}">
              <c16:uniqueId val="{00000001-3DB5-4658-ACFD-81D8E0B26CAA}"/>
            </c:ext>
          </c:extLst>
        </c:ser>
        <c:ser>
          <c:idx val="1"/>
          <c:order val="1"/>
          <c:tx>
            <c:strRef>
              <c:f>Sheet1!$C$1</c:f>
              <c:strCache>
                <c:ptCount val="1"/>
                <c:pt idx="0">
                  <c:v>National (non-disabled)</c:v>
                </c:pt>
              </c:strCache>
            </c:strRef>
          </c:tx>
          <c:cat>
            <c:numRef>
              <c:f>Sheet1!$A$2:$A$10</c:f>
              <c:numCache>
                <c:formatCode>General</c:formatCode>
                <c:ptCount val="9"/>
                <c:pt idx="0">
                  <c:v>2008</c:v>
                </c:pt>
                <c:pt idx="1">
                  <c:v>2009</c:v>
                </c:pt>
                <c:pt idx="2">
                  <c:v>2010</c:v>
                </c:pt>
                <c:pt idx="3">
                  <c:v>2011</c:v>
                </c:pt>
                <c:pt idx="4">
                  <c:v>2012</c:v>
                </c:pt>
                <c:pt idx="5">
                  <c:v>2013</c:v>
                </c:pt>
                <c:pt idx="6">
                  <c:v>2014</c:v>
                </c:pt>
                <c:pt idx="7">
                  <c:v>2015</c:v>
                </c:pt>
                <c:pt idx="8">
                  <c:v>2016</c:v>
                </c:pt>
              </c:numCache>
            </c:numRef>
          </c:cat>
          <c:val>
            <c:numRef>
              <c:f>Sheet1!$C$2:$C$10</c:f>
              <c:numCache>
                <c:formatCode>0.0</c:formatCode>
                <c:ptCount val="9"/>
                <c:pt idx="1">
                  <c:v>65.5</c:v>
                </c:pt>
                <c:pt idx="2">
                  <c:v>65.3</c:v>
                </c:pt>
                <c:pt idx="3">
                  <c:v>65.7</c:v>
                </c:pt>
                <c:pt idx="4">
                  <c:v>67.900000000000006</c:v>
                </c:pt>
                <c:pt idx="5">
                  <c:v>68.2</c:v>
                </c:pt>
                <c:pt idx="6">
                  <c:v>70</c:v>
                </c:pt>
                <c:pt idx="7">
                  <c:v>71.599999999999994</c:v>
                </c:pt>
                <c:pt idx="8">
                  <c:v>74.239999999999995</c:v>
                </c:pt>
              </c:numCache>
            </c:numRef>
          </c:val>
          <c:smooth val="0"/>
          <c:extLst>
            <c:ext xmlns:c16="http://schemas.microsoft.com/office/drawing/2014/chart" uri="{C3380CC4-5D6E-409C-BE32-E72D297353CC}">
              <c16:uniqueId val="{00000002-3DB5-4658-ACFD-81D8E0B26CAA}"/>
            </c:ext>
          </c:extLst>
        </c:ser>
        <c:ser>
          <c:idx val="2"/>
          <c:order val="2"/>
          <c:tx>
            <c:strRef>
              <c:f>Sheet1!$D$1</c:f>
              <c:strCache>
                <c:ptCount val="1"/>
                <c:pt idx="0">
                  <c:v>EU average (all persons)</c:v>
                </c:pt>
              </c:strCache>
            </c:strRef>
          </c:tx>
          <c:cat>
            <c:numRef>
              <c:f>Sheet1!$A$2:$A$10</c:f>
              <c:numCache>
                <c:formatCode>General</c:formatCode>
                <c:ptCount val="9"/>
                <c:pt idx="0">
                  <c:v>2008</c:v>
                </c:pt>
                <c:pt idx="1">
                  <c:v>2009</c:v>
                </c:pt>
                <c:pt idx="2">
                  <c:v>2010</c:v>
                </c:pt>
                <c:pt idx="3">
                  <c:v>2011</c:v>
                </c:pt>
                <c:pt idx="4">
                  <c:v>2012</c:v>
                </c:pt>
                <c:pt idx="5">
                  <c:v>2013</c:v>
                </c:pt>
                <c:pt idx="6">
                  <c:v>2014</c:v>
                </c:pt>
                <c:pt idx="7">
                  <c:v>2015</c:v>
                </c:pt>
                <c:pt idx="8">
                  <c:v>2016</c:v>
                </c:pt>
              </c:numCache>
            </c:numRef>
          </c:cat>
          <c:val>
            <c:numRef>
              <c:f>Sheet1!$D$2:$D$10</c:f>
              <c:numCache>
                <c:formatCode>0.0</c:formatCode>
                <c:ptCount val="9"/>
                <c:pt idx="0">
                  <c:v>75</c:v>
                </c:pt>
                <c:pt idx="1">
                  <c:v>75.3</c:v>
                </c:pt>
                <c:pt idx="2">
                  <c:v>75.400000000000006</c:v>
                </c:pt>
                <c:pt idx="3">
                  <c:v>75.8</c:v>
                </c:pt>
                <c:pt idx="4">
                  <c:v>76.3</c:v>
                </c:pt>
                <c:pt idx="5">
                  <c:v>76.8</c:v>
                </c:pt>
                <c:pt idx="6">
                  <c:v>77.5</c:v>
                </c:pt>
                <c:pt idx="7">
                  <c:v>77.7</c:v>
                </c:pt>
                <c:pt idx="8">
                  <c:v>78.2</c:v>
                </c:pt>
              </c:numCache>
            </c:numRef>
          </c:val>
          <c:smooth val="0"/>
          <c:extLst>
            <c:ext xmlns:c16="http://schemas.microsoft.com/office/drawing/2014/chart" uri="{C3380CC4-5D6E-409C-BE32-E72D297353CC}">
              <c16:uniqueId val="{00000003-3DB5-4658-ACFD-81D8E0B26CAA}"/>
            </c:ext>
          </c:extLst>
        </c:ser>
        <c:dLbls>
          <c:showLegendKey val="0"/>
          <c:showVal val="0"/>
          <c:showCatName val="0"/>
          <c:showSerName val="0"/>
          <c:showPercent val="0"/>
          <c:showBubbleSize val="0"/>
        </c:dLbls>
        <c:marker val="1"/>
        <c:smooth val="0"/>
        <c:axId val="131739008"/>
        <c:axId val="131753088"/>
      </c:lineChart>
      <c:catAx>
        <c:axId val="131739008"/>
        <c:scaling>
          <c:orientation val="minMax"/>
        </c:scaling>
        <c:delete val="0"/>
        <c:axPos val="b"/>
        <c:numFmt formatCode="General" sourceLinked="1"/>
        <c:majorTickMark val="none"/>
        <c:minorTickMark val="none"/>
        <c:tickLblPos val="nextTo"/>
        <c:crossAx val="131753088"/>
        <c:crosses val="autoZero"/>
        <c:auto val="1"/>
        <c:lblAlgn val="ctr"/>
        <c:lblOffset val="100"/>
        <c:noMultiLvlLbl val="0"/>
      </c:catAx>
      <c:valAx>
        <c:axId val="131753088"/>
        <c:scaling>
          <c:orientation val="minMax"/>
          <c:max val="90"/>
          <c:min val="20"/>
        </c:scaling>
        <c:delete val="0"/>
        <c:axPos val="l"/>
        <c:majorGridlines/>
        <c:title>
          <c:tx>
            <c:rich>
              <a:bodyPr/>
              <a:lstStyle/>
              <a:p>
                <a:pPr>
                  <a:defRPr/>
                </a:pPr>
                <a:r>
                  <a:rPr lang="en-GB"/>
                  <a:t>%</a:t>
                </a:r>
              </a:p>
            </c:rich>
          </c:tx>
          <c:overlay val="0"/>
        </c:title>
        <c:numFmt formatCode="0.0" sourceLinked="1"/>
        <c:majorTickMark val="none"/>
        <c:minorTickMark val="none"/>
        <c:tickLblPos val="nextTo"/>
        <c:crossAx val="131739008"/>
        <c:crosses val="autoZero"/>
        <c:crossBetween val="between"/>
      </c:valAx>
      <c:dTable>
        <c:showHorzBorder val="1"/>
        <c:showVertBorder val="1"/>
        <c:showOutline val="1"/>
        <c:showKeys val="1"/>
      </c:dTable>
    </c:plotArea>
    <c:plotVisOnly val="1"/>
    <c:dispBlanksAs val="gap"/>
    <c:showDLblsOverMax val="0"/>
  </c:chart>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barChart>
        <c:barDir val="col"/>
        <c:grouping val="clustered"/>
        <c:varyColors val="0"/>
        <c:ser>
          <c:idx val="0"/>
          <c:order val="0"/>
          <c:tx>
            <c:strRef>
              <c:f>Sheet1!$B$1</c:f>
              <c:strCache>
                <c:ptCount val="1"/>
                <c:pt idx="0">
                  <c:v>EU28 average</c:v>
                </c:pt>
              </c:strCache>
            </c:strRef>
          </c:tx>
          <c:invertIfNegative val="0"/>
          <c:cat>
            <c:strRef>
              <c:f>Sheet1!$A$2:$A$5</c:f>
              <c:strCache>
                <c:ptCount val="4"/>
                <c:pt idx="0">
                  <c:v>Disabled young people (18-24)</c:v>
                </c:pt>
                <c:pt idx="1">
                  <c:v>Non-disabled (18-24)</c:v>
                </c:pt>
                <c:pt idx="2">
                  <c:v>Disabled young people (18-29)</c:v>
                </c:pt>
                <c:pt idx="3">
                  <c:v>Non-disabled (18-29)</c:v>
                </c:pt>
              </c:strCache>
            </c:strRef>
          </c:cat>
          <c:val>
            <c:numRef>
              <c:f>Sheet1!$B$2:$B$5</c:f>
              <c:numCache>
                <c:formatCode>0.0</c:formatCode>
                <c:ptCount val="4"/>
                <c:pt idx="0">
                  <c:v>22.7</c:v>
                </c:pt>
                <c:pt idx="1">
                  <c:v>11.7</c:v>
                </c:pt>
                <c:pt idx="2">
                  <c:v>24.2</c:v>
                </c:pt>
                <c:pt idx="3">
                  <c:v>12.4</c:v>
                </c:pt>
              </c:numCache>
            </c:numRef>
          </c:val>
          <c:extLst>
            <c:ext xmlns:c16="http://schemas.microsoft.com/office/drawing/2014/chart" uri="{C3380CC4-5D6E-409C-BE32-E72D297353CC}">
              <c16:uniqueId val="{00000000-9E02-4723-A00C-FAA9A4A67C83}"/>
            </c:ext>
          </c:extLst>
        </c:ser>
        <c:ser>
          <c:idx val="1"/>
          <c:order val="1"/>
          <c:tx>
            <c:strRef>
              <c:f>Sheet1!$C$1</c:f>
              <c:strCache>
                <c:ptCount val="1"/>
                <c:pt idx="0">
                  <c:v>National average</c:v>
                </c:pt>
              </c:strCache>
            </c:strRef>
          </c:tx>
          <c:invertIfNegative val="0"/>
          <c:cat>
            <c:strRef>
              <c:f>Sheet1!$A$2:$A$5</c:f>
              <c:strCache>
                <c:ptCount val="4"/>
                <c:pt idx="0">
                  <c:v>Disabled young people (18-24)</c:v>
                </c:pt>
                <c:pt idx="1">
                  <c:v>Non-disabled (18-24)</c:v>
                </c:pt>
                <c:pt idx="2">
                  <c:v>Disabled young people (18-29)</c:v>
                </c:pt>
                <c:pt idx="3">
                  <c:v>Non-disabled (18-29)</c:v>
                </c:pt>
              </c:strCache>
            </c:strRef>
          </c:cat>
          <c:val>
            <c:numRef>
              <c:f>Sheet1!$C$2:$C$5</c:f>
              <c:numCache>
                <c:formatCode>0.0</c:formatCode>
                <c:ptCount val="4"/>
                <c:pt idx="0">
                  <c:v>49.943333333333335</c:v>
                </c:pt>
                <c:pt idx="1">
                  <c:v>22.13</c:v>
                </c:pt>
                <c:pt idx="2">
                  <c:v>56.3</c:v>
                </c:pt>
                <c:pt idx="3">
                  <c:v>25.594999999999999</c:v>
                </c:pt>
              </c:numCache>
            </c:numRef>
          </c:val>
          <c:extLst>
            <c:ext xmlns:c16="http://schemas.microsoft.com/office/drawing/2014/chart" uri="{C3380CC4-5D6E-409C-BE32-E72D297353CC}">
              <c16:uniqueId val="{00000001-9E02-4723-A00C-FAA9A4A67C83}"/>
            </c:ext>
          </c:extLst>
        </c:ser>
        <c:dLbls>
          <c:showLegendKey val="0"/>
          <c:showVal val="0"/>
          <c:showCatName val="0"/>
          <c:showSerName val="0"/>
          <c:showPercent val="0"/>
          <c:showBubbleSize val="0"/>
        </c:dLbls>
        <c:gapWidth val="150"/>
        <c:axId val="130948096"/>
        <c:axId val="130953984"/>
      </c:barChart>
      <c:catAx>
        <c:axId val="130948096"/>
        <c:scaling>
          <c:orientation val="minMax"/>
        </c:scaling>
        <c:delete val="0"/>
        <c:axPos val="b"/>
        <c:numFmt formatCode="General" sourceLinked="1"/>
        <c:majorTickMark val="none"/>
        <c:minorTickMark val="none"/>
        <c:tickLblPos val="nextTo"/>
        <c:crossAx val="130953984"/>
        <c:crosses val="autoZero"/>
        <c:auto val="1"/>
        <c:lblAlgn val="ctr"/>
        <c:lblOffset val="100"/>
        <c:noMultiLvlLbl val="0"/>
      </c:catAx>
      <c:valAx>
        <c:axId val="130953984"/>
        <c:scaling>
          <c:orientation val="minMax"/>
        </c:scaling>
        <c:delete val="0"/>
        <c:axPos val="l"/>
        <c:majorGridlines/>
        <c:title>
          <c:tx>
            <c:rich>
              <a:bodyPr/>
              <a:lstStyle/>
              <a:p>
                <a:pPr>
                  <a:defRPr/>
                </a:pPr>
                <a:r>
                  <a:rPr lang="en-GB"/>
                  <a:t>%</a:t>
                </a:r>
              </a:p>
            </c:rich>
          </c:tx>
          <c:overlay val="0"/>
        </c:title>
        <c:numFmt formatCode="0.0" sourceLinked="1"/>
        <c:majorTickMark val="none"/>
        <c:minorTickMark val="none"/>
        <c:tickLblPos val="nextTo"/>
        <c:crossAx val="130948096"/>
        <c:crosses val="autoZero"/>
        <c:crossBetween val="between"/>
      </c:valAx>
      <c:dTable>
        <c:showHorzBorder val="1"/>
        <c:showVertBorder val="1"/>
        <c:showOutline val="1"/>
        <c:showKeys val="1"/>
      </c:dTable>
    </c:plotArea>
    <c:plotVisOnly val="1"/>
    <c:dispBlanksAs val="gap"/>
    <c:showDLblsOverMax val="0"/>
  </c:chart>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Sheet1!$B$1</c:f>
              <c:strCache>
                <c:ptCount val="1"/>
                <c:pt idx="0">
                  <c:v>EU28 average</c:v>
                </c:pt>
              </c:strCache>
            </c:strRef>
          </c:tx>
          <c:invertIfNegative val="0"/>
          <c:cat>
            <c:strRef>
              <c:f>Sheet1!$A$2:$A$5</c:f>
              <c:strCache>
                <c:ptCount val="4"/>
                <c:pt idx="0">
                  <c:v>Disabled young people (30-34)</c:v>
                </c:pt>
                <c:pt idx="1">
                  <c:v>Non-disabled (30-34)</c:v>
                </c:pt>
                <c:pt idx="2">
                  <c:v>Disabled young people (30-39)</c:v>
                </c:pt>
                <c:pt idx="3">
                  <c:v>Non-disabled (30-39)</c:v>
                </c:pt>
              </c:strCache>
            </c:strRef>
          </c:cat>
          <c:val>
            <c:numRef>
              <c:f>Sheet1!$B$2:$B$5</c:f>
              <c:numCache>
                <c:formatCode>0.0</c:formatCode>
                <c:ptCount val="4"/>
                <c:pt idx="0">
                  <c:v>30.08</c:v>
                </c:pt>
                <c:pt idx="1">
                  <c:v>43.036666666666662</c:v>
                </c:pt>
                <c:pt idx="2">
                  <c:v>27.896666666666665</c:v>
                </c:pt>
                <c:pt idx="3">
                  <c:v>41.373333333333328</c:v>
                </c:pt>
              </c:numCache>
            </c:numRef>
          </c:val>
          <c:extLst>
            <c:ext xmlns:c16="http://schemas.microsoft.com/office/drawing/2014/chart" uri="{C3380CC4-5D6E-409C-BE32-E72D297353CC}">
              <c16:uniqueId val="{00000000-3CFF-446F-8AE5-92AAB25EDC09}"/>
            </c:ext>
          </c:extLst>
        </c:ser>
        <c:ser>
          <c:idx val="1"/>
          <c:order val="1"/>
          <c:tx>
            <c:strRef>
              <c:f>Sheet1!$C$1</c:f>
              <c:strCache>
                <c:ptCount val="1"/>
                <c:pt idx="0">
                  <c:v>National average</c:v>
                </c:pt>
              </c:strCache>
            </c:strRef>
          </c:tx>
          <c:invertIfNegative val="0"/>
          <c:cat>
            <c:strRef>
              <c:f>Sheet1!$A$2:$A$5</c:f>
              <c:strCache>
                <c:ptCount val="4"/>
                <c:pt idx="0">
                  <c:v>Disabled young people (30-34)</c:v>
                </c:pt>
                <c:pt idx="1">
                  <c:v>Non-disabled (30-34)</c:v>
                </c:pt>
                <c:pt idx="2">
                  <c:v>Disabled young people (30-39)</c:v>
                </c:pt>
                <c:pt idx="3">
                  <c:v>Non-disabled (30-39)</c:v>
                </c:pt>
              </c:strCache>
            </c:strRef>
          </c:cat>
          <c:val>
            <c:numRef>
              <c:f>Sheet1!$C$2:$C$5</c:f>
              <c:numCache>
                <c:formatCode>0.0</c:formatCode>
                <c:ptCount val="4"/>
                <c:pt idx="0">
                  <c:v>7.4666666666666677</c:v>
                </c:pt>
                <c:pt idx="1">
                  <c:v>30.173333333333336</c:v>
                </c:pt>
                <c:pt idx="2">
                  <c:v>2.6066666666666665</c:v>
                </c:pt>
                <c:pt idx="3">
                  <c:v>28.943333333333332</c:v>
                </c:pt>
              </c:numCache>
            </c:numRef>
          </c:val>
          <c:extLst>
            <c:ext xmlns:c16="http://schemas.microsoft.com/office/drawing/2014/chart" uri="{C3380CC4-5D6E-409C-BE32-E72D297353CC}">
              <c16:uniqueId val="{00000001-3CFF-446F-8AE5-92AAB25EDC09}"/>
            </c:ext>
          </c:extLst>
        </c:ser>
        <c:dLbls>
          <c:showLegendKey val="0"/>
          <c:showVal val="0"/>
          <c:showCatName val="0"/>
          <c:showSerName val="0"/>
          <c:showPercent val="0"/>
          <c:showBubbleSize val="0"/>
        </c:dLbls>
        <c:gapWidth val="150"/>
        <c:axId val="131005056"/>
        <c:axId val="131096960"/>
      </c:barChart>
      <c:catAx>
        <c:axId val="131005056"/>
        <c:scaling>
          <c:orientation val="minMax"/>
        </c:scaling>
        <c:delete val="0"/>
        <c:axPos val="b"/>
        <c:numFmt formatCode="General" sourceLinked="1"/>
        <c:majorTickMark val="none"/>
        <c:minorTickMark val="none"/>
        <c:tickLblPos val="nextTo"/>
        <c:crossAx val="131096960"/>
        <c:crosses val="autoZero"/>
        <c:auto val="1"/>
        <c:lblAlgn val="ctr"/>
        <c:lblOffset val="100"/>
        <c:noMultiLvlLbl val="0"/>
      </c:catAx>
      <c:valAx>
        <c:axId val="131096960"/>
        <c:scaling>
          <c:orientation val="minMax"/>
        </c:scaling>
        <c:delete val="0"/>
        <c:axPos val="l"/>
        <c:majorGridlines/>
        <c:title>
          <c:tx>
            <c:rich>
              <a:bodyPr/>
              <a:lstStyle/>
              <a:p>
                <a:pPr>
                  <a:defRPr/>
                </a:pPr>
                <a:r>
                  <a:rPr lang="en-GB"/>
                  <a:t>%</a:t>
                </a:r>
              </a:p>
            </c:rich>
          </c:tx>
          <c:overlay val="0"/>
        </c:title>
        <c:numFmt formatCode="0.0" sourceLinked="1"/>
        <c:majorTickMark val="none"/>
        <c:minorTickMark val="none"/>
        <c:tickLblPos val="nextTo"/>
        <c:crossAx val="131005056"/>
        <c:crosses val="autoZero"/>
        <c:crossBetween val="between"/>
      </c:valAx>
      <c:dTable>
        <c:showHorzBorder val="1"/>
        <c:showVertBorder val="1"/>
        <c:showOutline val="1"/>
        <c:showKeys val="1"/>
      </c:dTable>
    </c:plotArea>
    <c:plotVisOnly val="1"/>
    <c:dispBlanksAs val="gap"/>
    <c:showDLblsOverMax val="0"/>
  </c:chart>
  <c:externalData r:id="rId2">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barChart>
        <c:barDir val="col"/>
        <c:grouping val="clustered"/>
        <c:varyColors val="0"/>
        <c:ser>
          <c:idx val="0"/>
          <c:order val="0"/>
          <c:tx>
            <c:strRef>
              <c:f>Sheet1!$B$1</c:f>
              <c:strCache>
                <c:ptCount val="1"/>
                <c:pt idx="0">
                  <c:v>EU average</c:v>
                </c:pt>
              </c:strCache>
            </c:strRef>
          </c:tx>
          <c:invertIfNegative val="0"/>
          <c:cat>
            <c:strRef>
              <c:f>Sheet1!$A$2:$A$7</c:f>
              <c:strCache>
                <c:ptCount val="6"/>
                <c:pt idx="0">
                  <c:v>Disabled - low work intensity</c:v>
                </c:pt>
                <c:pt idx="1">
                  <c:v>Non-disabled - low work intensity</c:v>
                </c:pt>
                <c:pt idx="2">
                  <c:v>Disabled - low income</c:v>
                </c:pt>
                <c:pt idx="3">
                  <c:v>Non-disabled - low income</c:v>
                </c:pt>
                <c:pt idx="4">
                  <c:v>Disabled - materially deprived</c:v>
                </c:pt>
                <c:pt idx="5">
                  <c:v>Non-disabled - materially deprived</c:v>
                </c:pt>
              </c:strCache>
            </c:strRef>
          </c:cat>
          <c:val>
            <c:numRef>
              <c:f>Sheet1!$B$2:$B$7</c:f>
              <c:numCache>
                <c:formatCode>0.0</c:formatCode>
                <c:ptCount val="6"/>
                <c:pt idx="0">
                  <c:v>25.83</c:v>
                </c:pt>
                <c:pt idx="1">
                  <c:v>8.2799999999999994</c:v>
                </c:pt>
                <c:pt idx="2">
                  <c:v>23.32</c:v>
                </c:pt>
                <c:pt idx="3">
                  <c:v>16.13</c:v>
                </c:pt>
                <c:pt idx="4">
                  <c:v>13.39</c:v>
                </c:pt>
                <c:pt idx="5">
                  <c:v>6.65</c:v>
                </c:pt>
              </c:numCache>
            </c:numRef>
          </c:val>
          <c:extLst>
            <c:ext xmlns:c16="http://schemas.microsoft.com/office/drawing/2014/chart" uri="{C3380CC4-5D6E-409C-BE32-E72D297353CC}">
              <c16:uniqueId val="{00000000-49C8-4D98-A6A5-574F292DC477}"/>
            </c:ext>
          </c:extLst>
        </c:ser>
        <c:ser>
          <c:idx val="1"/>
          <c:order val="1"/>
          <c:tx>
            <c:strRef>
              <c:f>Sheet1!$C$1</c:f>
              <c:strCache>
                <c:ptCount val="1"/>
                <c:pt idx="0">
                  <c:v>National average</c:v>
                </c:pt>
              </c:strCache>
            </c:strRef>
          </c:tx>
          <c:invertIfNegative val="0"/>
          <c:cat>
            <c:strRef>
              <c:f>Sheet1!$A$2:$A$7</c:f>
              <c:strCache>
                <c:ptCount val="6"/>
                <c:pt idx="0">
                  <c:v>Disabled - low work intensity</c:v>
                </c:pt>
                <c:pt idx="1">
                  <c:v>Non-disabled - low work intensity</c:v>
                </c:pt>
                <c:pt idx="2">
                  <c:v>Disabled - low income</c:v>
                </c:pt>
                <c:pt idx="3">
                  <c:v>Non-disabled - low income</c:v>
                </c:pt>
                <c:pt idx="4">
                  <c:v>Disabled - materially deprived</c:v>
                </c:pt>
                <c:pt idx="5">
                  <c:v>Non-disabled - materially deprived</c:v>
                </c:pt>
              </c:strCache>
            </c:strRef>
          </c:cat>
          <c:val>
            <c:numRef>
              <c:f>Sheet1!$C$2:$C$7</c:f>
              <c:numCache>
                <c:formatCode>0.0</c:formatCode>
                <c:ptCount val="6"/>
                <c:pt idx="0">
                  <c:v>34.54</c:v>
                </c:pt>
                <c:pt idx="1">
                  <c:v>5.21</c:v>
                </c:pt>
                <c:pt idx="2">
                  <c:v>29.07</c:v>
                </c:pt>
                <c:pt idx="3">
                  <c:v>12.03</c:v>
                </c:pt>
                <c:pt idx="4">
                  <c:v>13.17</c:v>
                </c:pt>
                <c:pt idx="5">
                  <c:v>3.47</c:v>
                </c:pt>
              </c:numCache>
            </c:numRef>
          </c:val>
          <c:extLst>
            <c:ext xmlns:c16="http://schemas.microsoft.com/office/drawing/2014/chart" uri="{C3380CC4-5D6E-409C-BE32-E72D297353CC}">
              <c16:uniqueId val="{00000001-49C8-4D98-A6A5-574F292DC477}"/>
            </c:ext>
          </c:extLst>
        </c:ser>
        <c:dLbls>
          <c:showLegendKey val="0"/>
          <c:showVal val="0"/>
          <c:showCatName val="0"/>
          <c:showSerName val="0"/>
          <c:showPercent val="0"/>
          <c:showBubbleSize val="0"/>
        </c:dLbls>
        <c:gapWidth val="150"/>
        <c:axId val="131127552"/>
        <c:axId val="131137536"/>
      </c:barChart>
      <c:catAx>
        <c:axId val="131127552"/>
        <c:scaling>
          <c:orientation val="minMax"/>
        </c:scaling>
        <c:delete val="0"/>
        <c:axPos val="b"/>
        <c:numFmt formatCode="General" sourceLinked="1"/>
        <c:majorTickMark val="none"/>
        <c:minorTickMark val="none"/>
        <c:tickLblPos val="nextTo"/>
        <c:crossAx val="131137536"/>
        <c:crosses val="autoZero"/>
        <c:auto val="1"/>
        <c:lblAlgn val="ctr"/>
        <c:lblOffset val="100"/>
        <c:noMultiLvlLbl val="0"/>
      </c:catAx>
      <c:valAx>
        <c:axId val="131137536"/>
        <c:scaling>
          <c:orientation val="minMax"/>
        </c:scaling>
        <c:delete val="0"/>
        <c:axPos val="l"/>
        <c:majorGridlines/>
        <c:title>
          <c:tx>
            <c:rich>
              <a:bodyPr/>
              <a:lstStyle/>
              <a:p>
                <a:pPr>
                  <a:defRPr/>
                </a:pPr>
                <a:r>
                  <a:rPr lang="en-GB"/>
                  <a:t>%</a:t>
                </a:r>
              </a:p>
            </c:rich>
          </c:tx>
          <c:overlay val="0"/>
        </c:title>
        <c:numFmt formatCode="0.0" sourceLinked="1"/>
        <c:majorTickMark val="none"/>
        <c:minorTickMark val="none"/>
        <c:tickLblPos val="nextTo"/>
        <c:crossAx val="131127552"/>
        <c:crosses val="autoZero"/>
        <c:crossBetween val="between"/>
      </c:valAx>
      <c:dTable>
        <c:showHorzBorder val="1"/>
        <c:showVertBorder val="1"/>
        <c:showOutline val="1"/>
        <c:showKeys val="1"/>
        <c:txPr>
          <a:bodyPr/>
          <a:lstStyle/>
          <a:p>
            <a:pPr rtl="0">
              <a:defRPr spc="-100" baseline="0"/>
            </a:pPr>
            <a:endParaRPr lang="nl-NL"/>
          </a:p>
        </c:txPr>
      </c:dTable>
    </c:plotArea>
    <c:plotVisOnly val="1"/>
    <c:dispBlanksAs val="gap"/>
    <c:showDLblsOverMax val="0"/>
  </c:chart>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Sheet1!$B$1</c:f>
              <c:strCache>
                <c:ptCount val="1"/>
                <c:pt idx="0">
                  <c:v>EU average</c:v>
                </c:pt>
              </c:strCache>
            </c:strRef>
          </c:tx>
          <c:invertIfNegative val="0"/>
          <c:cat>
            <c:strRef>
              <c:f>Sheet1!$A$2:$A$8</c:f>
              <c:strCache>
                <c:ptCount val="7"/>
                <c:pt idx="0">
                  <c:v>No disability</c:v>
                </c:pt>
                <c:pt idx="1">
                  <c:v>Moderate disability</c:v>
                </c:pt>
                <c:pt idx="2">
                  <c:v>Severe disability</c:v>
                </c:pt>
                <c:pt idx="3">
                  <c:v>Disabled women</c:v>
                </c:pt>
                <c:pt idx="4">
                  <c:v>Disabled men</c:v>
                </c:pt>
                <c:pt idx="5">
                  <c:v>Non-disabled women</c:v>
                </c:pt>
                <c:pt idx="6">
                  <c:v>Non-disabled men</c:v>
                </c:pt>
              </c:strCache>
            </c:strRef>
          </c:cat>
          <c:val>
            <c:numRef>
              <c:f>Sheet1!$B$2:$B$8</c:f>
              <c:numCache>
                <c:formatCode>0.0</c:formatCode>
                <c:ptCount val="7"/>
                <c:pt idx="0">
                  <c:v>20.89</c:v>
                </c:pt>
                <c:pt idx="1">
                  <c:v>27.25</c:v>
                </c:pt>
                <c:pt idx="2">
                  <c:v>36.4</c:v>
                </c:pt>
                <c:pt idx="3">
                  <c:v>30.82</c:v>
                </c:pt>
                <c:pt idx="4">
                  <c:v>29.13</c:v>
                </c:pt>
                <c:pt idx="5">
                  <c:v>21.93</c:v>
                </c:pt>
                <c:pt idx="6">
                  <c:v>19.84</c:v>
                </c:pt>
              </c:numCache>
            </c:numRef>
          </c:val>
          <c:extLst>
            <c:ext xmlns:c16="http://schemas.microsoft.com/office/drawing/2014/chart" uri="{C3380CC4-5D6E-409C-BE32-E72D297353CC}">
              <c16:uniqueId val="{00000000-5438-4660-80B3-12C4E8ABAEBE}"/>
            </c:ext>
          </c:extLst>
        </c:ser>
        <c:ser>
          <c:idx val="1"/>
          <c:order val="1"/>
          <c:tx>
            <c:strRef>
              <c:f>Sheet1!$C$1</c:f>
              <c:strCache>
                <c:ptCount val="1"/>
                <c:pt idx="0">
                  <c:v>National average</c:v>
                </c:pt>
              </c:strCache>
            </c:strRef>
          </c:tx>
          <c:invertIfNegative val="0"/>
          <c:cat>
            <c:strRef>
              <c:f>Sheet1!$A$2:$A$8</c:f>
              <c:strCache>
                <c:ptCount val="7"/>
                <c:pt idx="0">
                  <c:v>No disability</c:v>
                </c:pt>
                <c:pt idx="1">
                  <c:v>Moderate disability</c:v>
                </c:pt>
                <c:pt idx="2">
                  <c:v>Severe disability</c:v>
                </c:pt>
                <c:pt idx="3">
                  <c:v>Disabled women</c:v>
                </c:pt>
                <c:pt idx="4">
                  <c:v>Disabled men</c:v>
                </c:pt>
                <c:pt idx="5">
                  <c:v>Non-disabled women</c:v>
                </c:pt>
                <c:pt idx="6">
                  <c:v>Non-disabled men</c:v>
                </c:pt>
              </c:strCache>
            </c:strRef>
          </c:cat>
          <c:val>
            <c:numRef>
              <c:f>Sheet1!$C$2:$C$8</c:f>
              <c:numCache>
                <c:formatCode>0.0</c:formatCode>
                <c:ptCount val="7"/>
                <c:pt idx="0">
                  <c:v>17.489999999999998</c:v>
                </c:pt>
                <c:pt idx="1">
                  <c:v>29.51</c:v>
                </c:pt>
                <c:pt idx="2">
                  <c:v>39.950000000000003</c:v>
                </c:pt>
                <c:pt idx="3">
                  <c:v>31.14</c:v>
                </c:pt>
                <c:pt idx="4">
                  <c:v>33.729999999999997</c:v>
                </c:pt>
                <c:pt idx="5">
                  <c:v>18.239999999999998</c:v>
                </c:pt>
                <c:pt idx="6">
                  <c:v>16.760000000000002</c:v>
                </c:pt>
              </c:numCache>
            </c:numRef>
          </c:val>
          <c:extLst>
            <c:ext xmlns:c16="http://schemas.microsoft.com/office/drawing/2014/chart" uri="{C3380CC4-5D6E-409C-BE32-E72D297353CC}">
              <c16:uniqueId val="{00000001-5438-4660-80B3-12C4E8ABAEBE}"/>
            </c:ext>
          </c:extLst>
        </c:ser>
        <c:dLbls>
          <c:showLegendKey val="0"/>
          <c:showVal val="0"/>
          <c:showCatName val="0"/>
          <c:showSerName val="0"/>
          <c:showPercent val="0"/>
          <c:showBubbleSize val="0"/>
        </c:dLbls>
        <c:gapWidth val="150"/>
        <c:axId val="131200896"/>
        <c:axId val="131202432"/>
      </c:barChart>
      <c:catAx>
        <c:axId val="131200896"/>
        <c:scaling>
          <c:orientation val="minMax"/>
        </c:scaling>
        <c:delete val="0"/>
        <c:axPos val="b"/>
        <c:numFmt formatCode="General" sourceLinked="1"/>
        <c:majorTickMark val="none"/>
        <c:minorTickMark val="none"/>
        <c:tickLblPos val="nextTo"/>
        <c:crossAx val="131202432"/>
        <c:crosses val="autoZero"/>
        <c:auto val="1"/>
        <c:lblAlgn val="ctr"/>
        <c:lblOffset val="100"/>
        <c:noMultiLvlLbl val="0"/>
      </c:catAx>
      <c:valAx>
        <c:axId val="131202432"/>
        <c:scaling>
          <c:orientation val="minMax"/>
        </c:scaling>
        <c:delete val="0"/>
        <c:axPos val="l"/>
        <c:majorGridlines/>
        <c:title>
          <c:tx>
            <c:rich>
              <a:bodyPr/>
              <a:lstStyle/>
              <a:p>
                <a:pPr>
                  <a:defRPr/>
                </a:pPr>
                <a:r>
                  <a:rPr lang="en-GB"/>
                  <a:t>%</a:t>
                </a:r>
              </a:p>
            </c:rich>
          </c:tx>
          <c:overlay val="0"/>
        </c:title>
        <c:numFmt formatCode="0.0" sourceLinked="1"/>
        <c:majorTickMark val="none"/>
        <c:minorTickMark val="none"/>
        <c:tickLblPos val="nextTo"/>
        <c:crossAx val="131200896"/>
        <c:crosses val="autoZero"/>
        <c:crossBetween val="between"/>
      </c:valAx>
      <c:dTable>
        <c:showHorzBorder val="1"/>
        <c:showVertBorder val="1"/>
        <c:showOutline val="1"/>
        <c:showKeys val="1"/>
        <c:txPr>
          <a:bodyPr/>
          <a:lstStyle/>
          <a:p>
            <a:pPr rtl="0">
              <a:defRPr spc="-100" baseline="0"/>
            </a:pPr>
            <a:endParaRPr lang="nl-NL"/>
          </a:p>
        </c:txPr>
      </c:dTable>
    </c:plotArea>
    <c:plotVisOnly val="1"/>
    <c:dispBlanksAs val="gap"/>
    <c:showDLblsOverMax val="0"/>
  </c:chart>
  <c:externalData r:id="rId2">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Sheet1!$B$1</c:f>
              <c:strCache>
                <c:ptCount val="1"/>
                <c:pt idx="0">
                  <c:v>EU average</c:v>
                </c:pt>
              </c:strCache>
            </c:strRef>
          </c:tx>
          <c:invertIfNegative val="0"/>
          <c:cat>
            <c:strRef>
              <c:f>Sheet1!$A$2:$A$5</c:f>
              <c:strCache>
                <c:ptCount val="4"/>
                <c:pt idx="0">
                  <c:v>Disabled (16-64)</c:v>
                </c:pt>
                <c:pt idx="1">
                  <c:v>Non-disabled (16-64)</c:v>
                </c:pt>
                <c:pt idx="2">
                  <c:v>Disabled (65+)</c:v>
                </c:pt>
                <c:pt idx="3">
                  <c:v>Non-disabled (65+)</c:v>
                </c:pt>
              </c:strCache>
            </c:strRef>
          </c:cat>
          <c:val>
            <c:numRef>
              <c:f>Sheet1!$B$2:$B$5</c:f>
              <c:numCache>
                <c:formatCode>0.0</c:formatCode>
                <c:ptCount val="4"/>
                <c:pt idx="0">
                  <c:v>37.549999999999997</c:v>
                </c:pt>
                <c:pt idx="1">
                  <c:v>21.92</c:v>
                </c:pt>
                <c:pt idx="2">
                  <c:v>20.99</c:v>
                </c:pt>
                <c:pt idx="3">
                  <c:v>15.35</c:v>
                </c:pt>
              </c:numCache>
            </c:numRef>
          </c:val>
          <c:extLst>
            <c:ext xmlns:c16="http://schemas.microsoft.com/office/drawing/2014/chart" uri="{C3380CC4-5D6E-409C-BE32-E72D297353CC}">
              <c16:uniqueId val="{00000000-A3E7-4A19-B4C4-8561992A74E8}"/>
            </c:ext>
          </c:extLst>
        </c:ser>
        <c:ser>
          <c:idx val="1"/>
          <c:order val="1"/>
          <c:tx>
            <c:strRef>
              <c:f>Sheet1!$C$1</c:f>
              <c:strCache>
                <c:ptCount val="1"/>
                <c:pt idx="0">
                  <c:v>National average</c:v>
                </c:pt>
              </c:strCache>
            </c:strRef>
          </c:tx>
          <c:invertIfNegative val="0"/>
          <c:cat>
            <c:strRef>
              <c:f>Sheet1!$A$2:$A$5</c:f>
              <c:strCache>
                <c:ptCount val="4"/>
                <c:pt idx="0">
                  <c:v>Disabled (16-64)</c:v>
                </c:pt>
                <c:pt idx="1">
                  <c:v>Non-disabled (16-64)</c:v>
                </c:pt>
                <c:pt idx="2">
                  <c:v>Disabled (65+)</c:v>
                </c:pt>
                <c:pt idx="3">
                  <c:v>Non-disabled (65+)</c:v>
                </c:pt>
              </c:strCache>
            </c:strRef>
          </c:cat>
          <c:val>
            <c:numRef>
              <c:f>Sheet1!$C$2:$C$5</c:f>
              <c:numCache>
                <c:formatCode>0.0</c:formatCode>
                <c:ptCount val="4"/>
                <c:pt idx="0">
                  <c:v>41.33</c:v>
                </c:pt>
                <c:pt idx="1">
                  <c:v>15.71</c:v>
                </c:pt>
                <c:pt idx="2">
                  <c:v>25.34</c:v>
                </c:pt>
                <c:pt idx="3">
                  <c:v>26.52</c:v>
                </c:pt>
              </c:numCache>
            </c:numRef>
          </c:val>
          <c:extLst>
            <c:ext xmlns:c16="http://schemas.microsoft.com/office/drawing/2014/chart" uri="{C3380CC4-5D6E-409C-BE32-E72D297353CC}">
              <c16:uniqueId val="{00000001-A3E7-4A19-B4C4-8561992A74E8}"/>
            </c:ext>
          </c:extLst>
        </c:ser>
        <c:dLbls>
          <c:showLegendKey val="0"/>
          <c:showVal val="0"/>
          <c:showCatName val="0"/>
          <c:showSerName val="0"/>
          <c:showPercent val="0"/>
          <c:showBubbleSize val="0"/>
        </c:dLbls>
        <c:gapWidth val="150"/>
        <c:axId val="131900928"/>
        <c:axId val="131902464"/>
      </c:barChart>
      <c:catAx>
        <c:axId val="131900928"/>
        <c:scaling>
          <c:orientation val="minMax"/>
        </c:scaling>
        <c:delete val="0"/>
        <c:axPos val="b"/>
        <c:numFmt formatCode="General" sourceLinked="1"/>
        <c:majorTickMark val="none"/>
        <c:minorTickMark val="none"/>
        <c:tickLblPos val="nextTo"/>
        <c:crossAx val="131902464"/>
        <c:crosses val="autoZero"/>
        <c:auto val="1"/>
        <c:lblAlgn val="ctr"/>
        <c:lblOffset val="100"/>
        <c:noMultiLvlLbl val="0"/>
      </c:catAx>
      <c:valAx>
        <c:axId val="131902464"/>
        <c:scaling>
          <c:orientation val="minMax"/>
        </c:scaling>
        <c:delete val="0"/>
        <c:axPos val="l"/>
        <c:majorGridlines/>
        <c:title>
          <c:tx>
            <c:rich>
              <a:bodyPr/>
              <a:lstStyle/>
              <a:p>
                <a:pPr>
                  <a:defRPr/>
                </a:pPr>
                <a:r>
                  <a:rPr lang="en-GB"/>
                  <a:t>%</a:t>
                </a:r>
              </a:p>
            </c:rich>
          </c:tx>
          <c:overlay val="0"/>
        </c:title>
        <c:numFmt formatCode="0.0" sourceLinked="1"/>
        <c:majorTickMark val="none"/>
        <c:minorTickMark val="none"/>
        <c:tickLblPos val="nextTo"/>
        <c:crossAx val="131900928"/>
        <c:crosses val="autoZero"/>
        <c:crossBetween val="between"/>
      </c:valAx>
      <c:dTable>
        <c:showHorzBorder val="1"/>
        <c:showVertBorder val="1"/>
        <c:showOutline val="1"/>
        <c:showKeys val="1"/>
      </c:dTable>
    </c:plotArea>
    <c:plotVisOnly val="1"/>
    <c:dispBlanksAs val="gap"/>
    <c:showDLblsOverMax val="0"/>
  </c:chart>
  <c:externalData r:id="rId2">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Sheet1!$B$1</c:f>
              <c:strCache>
                <c:ptCount val="1"/>
                <c:pt idx="0">
                  <c:v>Disabled (16-64)</c:v>
                </c:pt>
              </c:strCache>
            </c:strRef>
          </c:tx>
          <c:cat>
            <c:numRef>
              <c:f>Sheet1!$A$2:$A$10</c:f>
              <c:numCache>
                <c:formatCode>General</c:formatCode>
                <c:ptCount val="9"/>
                <c:pt idx="0">
                  <c:v>2008</c:v>
                </c:pt>
                <c:pt idx="1">
                  <c:v>2009</c:v>
                </c:pt>
                <c:pt idx="2">
                  <c:v>2010</c:v>
                </c:pt>
                <c:pt idx="3">
                  <c:v>2011</c:v>
                </c:pt>
                <c:pt idx="4">
                  <c:v>2012</c:v>
                </c:pt>
                <c:pt idx="5">
                  <c:v>2013</c:v>
                </c:pt>
                <c:pt idx="6">
                  <c:v>2014</c:v>
                </c:pt>
                <c:pt idx="7">
                  <c:v>2015</c:v>
                </c:pt>
                <c:pt idx="8">
                  <c:v>2016</c:v>
                </c:pt>
              </c:numCache>
            </c:numRef>
          </c:cat>
          <c:val>
            <c:numRef>
              <c:f>Sheet1!$B$2:$B$10</c:f>
              <c:numCache>
                <c:formatCode>0.0</c:formatCode>
                <c:ptCount val="9"/>
                <c:pt idx="0">
                  <c:v>38.5</c:v>
                </c:pt>
                <c:pt idx="1">
                  <c:v>38.700000000000003</c:v>
                </c:pt>
                <c:pt idx="2">
                  <c:v>34.9</c:v>
                </c:pt>
                <c:pt idx="3">
                  <c:v>36.4</c:v>
                </c:pt>
                <c:pt idx="4">
                  <c:v>43.6</c:v>
                </c:pt>
                <c:pt idx="5">
                  <c:v>41.6</c:v>
                </c:pt>
                <c:pt idx="6">
                  <c:v>45.6</c:v>
                </c:pt>
                <c:pt idx="7">
                  <c:v>44</c:v>
                </c:pt>
                <c:pt idx="8">
                  <c:v>41.33</c:v>
                </c:pt>
              </c:numCache>
            </c:numRef>
          </c:val>
          <c:smooth val="0"/>
          <c:extLst>
            <c:ext xmlns:c16="http://schemas.microsoft.com/office/drawing/2014/chart" uri="{C3380CC4-5D6E-409C-BE32-E72D297353CC}">
              <c16:uniqueId val="{00000000-BA52-443F-B612-B72DF476746B}"/>
            </c:ext>
          </c:extLst>
        </c:ser>
        <c:ser>
          <c:idx val="1"/>
          <c:order val="1"/>
          <c:tx>
            <c:strRef>
              <c:f>Sheet1!$C$1</c:f>
              <c:strCache>
                <c:ptCount val="1"/>
                <c:pt idx="0">
                  <c:v>Non-disabled (16-64)</c:v>
                </c:pt>
              </c:strCache>
            </c:strRef>
          </c:tx>
          <c:cat>
            <c:numRef>
              <c:f>Sheet1!$A$2:$A$10</c:f>
              <c:numCache>
                <c:formatCode>General</c:formatCode>
                <c:ptCount val="9"/>
                <c:pt idx="0">
                  <c:v>2008</c:v>
                </c:pt>
                <c:pt idx="1">
                  <c:v>2009</c:v>
                </c:pt>
                <c:pt idx="2">
                  <c:v>2010</c:v>
                </c:pt>
                <c:pt idx="3">
                  <c:v>2011</c:v>
                </c:pt>
                <c:pt idx="4">
                  <c:v>2012</c:v>
                </c:pt>
                <c:pt idx="5">
                  <c:v>2013</c:v>
                </c:pt>
                <c:pt idx="6">
                  <c:v>2014</c:v>
                </c:pt>
                <c:pt idx="7">
                  <c:v>2015</c:v>
                </c:pt>
                <c:pt idx="8">
                  <c:v>2016</c:v>
                </c:pt>
              </c:numCache>
            </c:numRef>
          </c:cat>
          <c:val>
            <c:numRef>
              <c:f>Sheet1!$C$2:$C$10</c:f>
              <c:numCache>
                <c:formatCode>0.0</c:formatCode>
                <c:ptCount val="9"/>
                <c:pt idx="0">
                  <c:v>16.2</c:v>
                </c:pt>
                <c:pt idx="1">
                  <c:v>16.8</c:v>
                </c:pt>
                <c:pt idx="2">
                  <c:v>18.600000000000001</c:v>
                </c:pt>
                <c:pt idx="3">
                  <c:v>19.8</c:v>
                </c:pt>
                <c:pt idx="4">
                  <c:v>20</c:v>
                </c:pt>
                <c:pt idx="5">
                  <c:v>21.5</c:v>
                </c:pt>
                <c:pt idx="6">
                  <c:v>20.9</c:v>
                </c:pt>
                <c:pt idx="7">
                  <c:v>19.600000000000001</c:v>
                </c:pt>
                <c:pt idx="8">
                  <c:v>15.71</c:v>
                </c:pt>
              </c:numCache>
            </c:numRef>
          </c:val>
          <c:smooth val="0"/>
          <c:extLst>
            <c:ext xmlns:c16="http://schemas.microsoft.com/office/drawing/2014/chart" uri="{C3380CC4-5D6E-409C-BE32-E72D297353CC}">
              <c16:uniqueId val="{00000001-BA52-443F-B612-B72DF476746B}"/>
            </c:ext>
          </c:extLst>
        </c:ser>
        <c:ser>
          <c:idx val="2"/>
          <c:order val="2"/>
          <c:tx>
            <c:strRef>
              <c:f>Sheet1!$D$1</c:f>
              <c:strCache>
                <c:ptCount val="1"/>
                <c:pt idx="0">
                  <c:v>Disabled (65+)</c:v>
                </c:pt>
              </c:strCache>
            </c:strRef>
          </c:tx>
          <c:cat>
            <c:numRef>
              <c:f>Sheet1!$A$2:$A$10</c:f>
              <c:numCache>
                <c:formatCode>General</c:formatCode>
                <c:ptCount val="9"/>
                <c:pt idx="0">
                  <c:v>2008</c:v>
                </c:pt>
                <c:pt idx="1">
                  <c:v>2009</c:v>
                </c:pt>
                <c:pt idx="2">
                  <c:v>2010</c:v>
                </c:pt>
                <c:pt idx="3">
                  <c:v>2011</c:v>
                </c:pt>
                <c:pt idx="4">
                  <c:v>2012</c:v>
                </c:pt>
                <c:pt idx="5">
                  <c:v>2013</c:v>
                </c:pt>
                <c:pt idx="6">
                  <c:v>2014</c:v>
                </c:pt>
                <c:pt idx="7">
                  <c:v>2015</c:v>
                </c:pt>
                <c:pt idx="8">
                  <c:v>2016</c:v>
                </c:pt>
              </c:numCache>
            </c:numRef>
          </c:cat>
          <c:val>
            <c:numRef>
              <c:f>Sheet1!$D$2:$D$10</c:f>
              <c:numCache>
                <c:formatCode>0.0</c:formatCode>
                <c:ptCount val="9"/>
                <c:pt idx="0">
                  <c:v>29</c:v>
                </c:pt>
                <c:pt idx="1">
                  <c:v>24.6</c:v>
                </c:pt>
                <c:pt idx="2">
                  <c:v>23.2</c:v>
                </c:pt>
                <c:pt idx="3">
                  <c:v>21.8</c:v>
                </c:pt>
                <c:pt idx="4">
                  <c:v>24.2</c:v>
                </c:pt>
                <c:pt idx="5">
                  <c:v>25.3</c:v>
                </c:pt>
                <c:pt idx="6">
                  <c:v>25.6</c:v>
                </c:pt>
                <c:pt idx="7">
                  <c:v>25.9</c:v>
                </c:pt>
                <c:pt idx="8">
                  <c:v>25.34</c:v>
                </c:pt>
              </c:numCache>
            </c:numRef>
          </c:val>
          <c:smooth val="0"/>
          <c:extLst>
            <c:ext xmlns:c16="http://schemas.microsoft.com/office/drawing/2014/chart" uri="{C3380CC4-5D6E-409C-BE32-E72D297353CC}">
              <c16:uniqueId val="{00000002-BA52-443F-B612-B72DF476746B}"/>
            </c:ext>
          </c:extLst>
        </c:ser>
        <c:ser>
          <c:idx val="3"/>
          <c:order val="3"/>
          <c:tx>
            <c:strRef>
              <c:f>Sheet1!$E$1</c:f>
              <c:strCache>
                <c:ptCount val="1"/>
                <c:pt idx="0">
                  <c:v>Non-disabled (65+)</c:v>
                </c:pt>
              </c:strCache>
            </c:strRef>
          </c:tx>
          <c:cat>
            <c:numRef>
              <c:f>Sheet1!$A$2:$A$10</c:f>
              <c:numCache>
                <c:formatCode>General</c:formatCode>
                <c:ptCount val="9"/>
                <c:pt idx="0">
                  <c:v>2008</c:v>
                </c:pt>
                <c:pt idx="1">
                  <c:v>2009</c:v>
                </c:pt>
                <c:pt idx="2">
                  <c:v>2010</c:v>
                </c:pt>
                <c:pt idx="3">
                  <c:v>2011</c:v>
                </c:pt>
                <c:pt idx="4">
                  <c:v>2012</c:v>
                </c:pt>
                <c:pt idx="5">
                  <c:v>2013</c:v>
                </c:pt>
                <c:pt idx="6">
                  <c:v>2014</c:v>
                </c:pt>
                <c:pt idx="7">
                  <c:v>2015</c:v>
                </c:pt>
                <c:pt idx="8">
                  <c:v>2016</c:v>
                </c:pt>
              </c:numCache>
            </c:numRef>
          </c:cat>
          <c:val>
            <c:numRef>
              <c:f>Sheet1!$E$2:$E$10</c:f>
              <c:numCache>
                <c:formatCode>0.0</c:formatCode>
                <c:ptCount val="9"/>
                <c:pt idx="0">
                  <c:v>24</c:v>
                </c:pt>
                <c:pt idx="1">
                  <c:v>20.8</c:v>
                </c:pt>
                <c:pt idx="2">
                  <c:v>20.7</c:v>
                </c:pt>
                <c:pt idx="3">
                  <c:v>20.5</c:v>
                </c:pt>
                <c:pt idx="4">
                  <c:v>21.5</c:v>
                </c:pt>
                <c:pt idx="5">
                  <c:v>18.600000000000001</c:v>
                </c:pt>
                <c:pt idx="6">
                  <c:v>22.4</c:v>
                </c:pt>
                <c:pt idx="7">
                  <c:v>22.9</c:v>
                </c:pt>
                <c:pt idx="8">
                  <c:v>26.52</c:v>
                </c:pt>
              </c:numCache>
            </c:numRef>
          </c:val>
          <c:smooth val="0"/>
          <c:extLst>
            <c:ext xmlns:c16="http://schemas.microsoft.com/office/drawing/2014/chart" uri="{C3380CC4-5D6E-409C-BE32-E72D297353CC}">
              <c16:uniqueId val="{00000003-BA52-443F-B612-B72DF476746B}"/>
            </c:ext>
          </c:extLst>
        </c:ser>
        <c:ser>
          <c:idx val="4"/>
          <c:order val="4"/>
          <c:tx>
            <c:strRef>
              <c:f>Sheet1!$F$1</c:f>
              <c:strCache>
                <c:ptCount val="1"/>
                <c:pt idx="0">
                  <c:v>EU average (all 16+)</c:v>
                </c:pt>
              </c:strCache>
            </c:strRef>
          </c:tx>
          <c:cat>
            <c:numRef>
              <c:f>Sheet1!$A$2:$A$10</c:f>
              <c:numCache>
                <c:formatCode>General</c:formatCode>
                <c:ptCount val="9"/>
                <c:pt idx="0">
                  <c:v>2008</c:v>
                </c:pt>
                <c:pt idx="1">
                  <c:v>2009</c:v>
                </c:pt>
                <c:pt idx="2">
                  <c:v>2010</c:v>
                </c:pt>
                <c:pt idx="3">
                  <c:v>2011</c:v>
                </c:pt>
                <c:pt idx="4">
                  <c:v>2012</c:v>
                </c:pt>
                <c:pt idx="5">
                  <c:v>2013</c:v>
                </c:pt>
                <c:pt idx="6">
                  <c:v>2014</c:v>
                </c:pt>
                <c:pt idx="7">
                  <c:v>2015</c:v>
                </c:pt>
                <c:pt idx="8">
                  <c:v>2016</c:v>
                </c:pt>
              </c:numCache>
            </c:numRef>
          </c:cat>
          <c:val>
            <c:numRef>
              <c:f>Sheet1!$F$2:$F$10</c:f>
              <c:numCache>
                <c:formatCode>General</c:formatCode>
                <c:ptCount val="9"/>
                <c:pt idx="2" formatCode="0.0">
                  <c:v>22.7</c:v>
                </c:pt>
                <c:pt idx="3" formatCode="0.0">
                  <c:v>23.6</c:v>
                </c:pt>
                <c:pt idx="4" formatCode="0.0">
                  <c:v>24.1</c:v>
                </c:pt>
                <c:pt idx="5" formatCode="0.0">
                  <c:v>23.8</c:v>
                </c:pt>
                <c:pt idx="6" formatCode="0.0">
                  <c:v>23.8</c:v>
                </c:pt>
                <c:pt idx="7" formatCode="0.0">
                  <c:v>23.17</c:v>
                </c:pt>
                <c:pt idx="8" formatCode="0.0">
                  <c:v>23.1</c:v>
                </c:pt>
              </c:numCache>
            </c:numRef>
          </c:val>
          <c:smooth val="0"/>
          <c:extLst>
            <c:ext xmlns:c16="http://schemas.microsoft.com/office/drawing/2014/chart" uri="{C3380CC4-5D6E-409C-BE32-E72D297353CC}">
              <c16:uniqueId val="{00000004-BA52-443F-B612-B72DF476746B}"/>
            </c:ext>
          </c:extLst>
        </c:ser>
        <c:dLbls>
          <c:showLegendKey val="0"/>
          <c:showVal val="0"/>
          <c:showCatName val="0"/>
          <c:showSerName val="0"/>
          <c:showPercent val="0"/>
          <c:showBubbleSize val="0"/>
        </c:dLbls>
        <c:marker val="1"/>
        <c:smooth val="0"/>
        <c:axId val="133021056"/>
        <c:axId val="133031040"/>
      </c:lineChart>
      <c:catAx>
        <c:axId val="133021056"/>
        <c:scaling>
          <c:orientation val="minMax"/>
        </c:scaling>
        <c:delete val="0"/>
        <c:axPos val="b"/>
        <c:numFmt formatCode="General" sourceLinked="1"/>
        <c:majorTickMark val="none"/>
        <c:minorTickMark val="none"/>
        <c:tickLblPos val="nextTo"/>
        <c:crossAx val="133031040"/>
        <c:crosses val="autoZero"/>
        <c:auto val="1"/>
        <c:lblAlgn val="ctr"/>
        <c:lblOffset val="100"/>
        <c:noMultiLvlLbl val="0"/>
      </c:catAx>
      <c:valAx>
        <c:axId val="133031040"/>
        <c:scaling>
          <c:orientation val="minMax"/>
        </c:scaling>
        <c:delete val="0"/>
        <c:axPos val="l"/>
        <c:majorGridlines/>
        <c:title>
          <c:tx>
            <c:rich>
              <a:bodyPr/>
              <a:lstStyle/>
              <a:p>
                <a:pPr>
                  <a:defRPr/>
                </a:pPr>
                <a:r>
                  <a:rPr lang="en-GB"/>
                  <a:t>%</a:t>
                </a:r>
              </a:p>
            </c:rich>
          </c:tx>
          <c:overlay val="0"/>
        </c:title>
        <c:numFmt formatCode="0.0" sourceLinked="1"/>
        <c:majorTickMark val="none"/>
        <c:minorTickMark val="none"/>
        <c:tickLblPos val="nextTo"/>
        <c:crossAx val="133021056"/>
        <c:crosses val="autoZero"/>
        <c:crossBetween val="between"/>
      </c:valAx>
      <c:dTable>
        <c:showHorzBorder val="1"/>
        <c:showVertBorder val="1"/>
        <c:showOutline val="1"/>
        <c:showKeys val="1"/>
      </c:dTable>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Sheet1!$B$1</c:f>
              <c:strCache>
                <c:ptCount val="1"/>
                <c:pt idx="0">
                  <c:v>EU average</c:v>
                </c:pt>
              </c:strCache>
            </c:strRef>
          </c:tx>
          <c:invertIfNegative val="0"/>
          <c:cat>
            <c:strRef>
              <c:f>Sheet1!$A$2:$A$9</c:f>
              <c:strCache>
                <c:ptCount val="8"/>
                <c:pt idx="0">
                  <c:v>No disability</c:v>
                </c:pt>
                <c:pt idx="1">
                  <c:v>Moderate disability</c:v>
                </c:pt>
                <c:pt idx="2">
                  <c:v>Severe disability</c:v>
                </c:pt>
                <c:pt idx="3">
                  <c:v>Disabled women</c:v>
                </c:pt>
                <c:pt idx="4">
                  <c:v>Disabled men</c:v>
                </c:pt>
                <c:pt idx="5">
                  <c:v>Non-disabled women</c:v>
                </c:pt>
                <c:pt idx="6">
                  <c:v>Non-disabled men</c:v>
                </c:pt>
                <c:pt idx="7">
                  <c:v>Disabled total</c:v>
                </c:pt>
              </c:strCache>
            </c:strRef>
          </c:cat>
          <c:val>
            <c:numRef>
              <c:f>Sheet1!$B$2:$B$9</c:f>
              <c:numCache>
                <c:formatCode>0.0</c:formatCode>
                <c:ptCount val="8"/>
                <c:pt idx="0">
                  <c:v>73.86</c:v>
                </c:pt>
                <c:pt idx="1">
                  <c:v>55.56</c:v>
                </c:pt>
                <c:pt idx="2">
                  <c:v>28.55</c:v>
                </c:pt>
                <c:pt idx="3">
                  <c:v>45.92</c:v>
                </c:pt>
                <c:pt idx="4">
                  <c:v>50.56</c:v>
                </c:pt>
                <c:pt idx="5">
                  <c:v>67.67</c:v>
                </c:pt>
                <c:pt idx="6">
                  <c:v>80.03</c:v>
                </c:pt>
                <c:pt idx="7">
                  <c:v>48.06</c:v>
                </c:pt>
              </c:numCache>
            </c:numRef>
          </c:val>
          <c:extLst>
            <c:ext xmlns:c16="http://schemas.microsoft.com/office/drawing/2014/chart" uri="{C3380CC4-5D6E-409C-BE32-E72D297353CC}">
              <c16:uniqueId val="{00000000-0E5E-4E1C-A010-6502945D0B47}"/>
            </c:ext>
          </c:extLst>
        </c:ser>
        <c:ser>
          <c:idx val="1"/>
          <c:order val="1"/>
          <c:tx>
            <c:strRef>
              <c:f>Sheet1!$C$1</c:f>
              <c:strCache>
                <c:ptCount val="1"/>
                <c:pt idx="0">
                  <c:v>National average</c:v>
                </c:pt>
              </c:strCache>
            </c:strRef>
          </c:tx>
          <c:invertIfNegative val="0"/>
          <c:cat>
            <c:strRef>
              <c:f>Sheet1!$A$2:$A$9</c:f>
              <c:strCache>
                <c:ptCount val="8"/>
                <c:pt idx="0">
                  <c:v>No disability</c:v>
                </c:pt>
                <c:pt idx="1">
                  <c:v>Moderate disability</c:v>
                </c:pt>
                <c:pt idx="2">
                  <c:v>Severe disability</c:v>
                </c:pt>
                <c:pt idx="3">
                  <c:v>Disabled women</c:v>
                </c:pt>
                <c:pt idx="4">
                  <c:v>Disabled men</c:v>
                </c:pt>
                <c:pt idx="5">
                  <c:v>Non-disabled women</c:v>
                </c:pt>
                <c:pt idx="6">
                  <c:v>Non-disabled men</c:v>
                </c:pt>
                <c:pt idx="7">
                  <c:v>Disabled total</c:v>
                </c:pt>
              </c:strCache>
            </c:strRef>
          </c:cat>
          <c:val>
            <c:numRef>
              <c:f>Sheet1!$C$2:$C$9</c:f>
              <c:numCache>
                <c:formatCode>0.0</c:formatCode>
                <c:ptCount val="8"/>
                <c:pt idx="0">
                  <c:v>71.84</c:v>
                </c:pt>
                <c:pt idx="1">
                  <c:v>37.08</c:v>
                </c:pt>
                <c:pt idx="2">
                  <c:v>13.4</c:v>
                </c:pt>
                <c:pt idx="3">
                  <c:v>25.86</c:v>
                </c:pt>
                <c:pt idx="4">
                  <c:v>31.71</c:v>
                </c:pt>
                <c:pt idx="5">
                  <c:v>57.99</c:v>
                </c:pt>
                <c:pt idx="6">
                  <c:v>85.29</c:v>
                </c:pt>
                <c:pt idx="7">
                  <c:v>29</c:v>
                </c:pt>
              </c:numCache>
            </c:numRef>
          </c:val>
          <c:extLst>
            <c:ext xmlns:c16="http://schemas.microsoft.com/office/drawing/2014/chart" uri="{C3380CC4-5D6E-409C-BE32-E72D297353CC}">
              <c16:uniqueId val="{00000001-0E5E-4E1C-A010-6502945D0B47}"/>
            </c:ext>
          </c:extLst>
        </c:ser>
        <c:dLbls>
          <c:showLegendKey val="0"/>
          <c:showVal val="0"/>
          <c:showCatName val="0"/>
          <c:showSerName val="0"/>
          <c:showPercent val="0"/>
          <c:showBubbleSize val="0"/>
        </c:dLbls>
        <c:gapWidth val="150"/>
        <c:axId val="84344192"/>
        <c:axId val="84006016"/>
      </c:barChart>
      <c:catAx>
        <c:axId val="84344192"/>
        <c:scaling>
          <c:orientation val="minMax"/>
        </c:scaling>
        <c:delete val="0"/>
        <c:axPos val="b"/>
        <c:numFmt formatCode="General" sourceLinked="1"/>
        <c:majorTickMark val="none"/>
        <c:minorTickMark val="none"/>
        <c:tickLblPos val="nextTo"/>
        <c:crossAx val="84006016"/>
        <c:crosses val="autoZero"/>
        <c:auto val="1"/>
        <c:lblAlgn val="ctr"/>
        <c:lblOffset val="100"/>
        <c:noMultiLvlLbl val="0"/>
      </c:catAx>
      <c:valAx>
        <c:axId val="84006016"/>
        <c:scaling>
          <c:orientation val="minMax"/>
        </c:scaling>
        <c:delete val="0"/>
        <c:axPos val="l"/>
        <c:majorGridlines/>
        <c:title>
          <c:tx>
            <c:rich>
              <a:bodyPr/>
              <a:lstStyle/>
              <a:p>
                <a:pPr>
                  <a:defRPr/>
                </a:pPr>
                <a:r>
                  <a:rPr lang="en-GB"/>
                  <a:t>%</a:t>
                </a:r>
              </a:p>
            </c:rich>
          </c:tx>
          <c:overlay val="0"/>
        </c:title>
        <c:numFmt formatCode="0.0" sourceLinked="1"/>
        <c:majorTickMark val="none"/>
        <c:minorTickMark val="none"/>
        <c:tickLblPos val="nextTo"/>
        <c:crossAx val="84344192"/>
        <c:crosses val="autoZero"/>
        <c:crossBetween val="between"/>
      </c:valAx>
      <c:dTable>
        <c:showHorzBorder val="1"/>
        <c:showVertBorder val="1"/>
        <c:showOutline val="1"/>
        <c:showKeys val="1"/>
        <c:txPr>
          <a:bodyPr/>
          <a:lstStyle/>
          <a:p>
            <a:pPr rtl="0">
              <a:defRPr spc="-100" baseline="0"/>
            </a:pPr>
            <a:endParaRPr lang="nl-NL"/>
          </a:p>
        </c:txPr>
      </c:dTable>
    </c:plotArea>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Sheet1!$B$1</c:f>
              <c:strCache>
                <c:ptCount val="1"/>
                <c:pt idx="0">
                  <c:v>EU (disabled)</c:v>
                </c:pt>
              </c:strCache>
            </c:strRef>
          </c:tx>
          <c:cat>
            <c:strRef>
              <c:f>Sheet1!$A$2:$A$6</c:f>
              <c:strCache>
                <c:ptCount val="5"/>
                <c:pt idx="0">
                  <c:v>age 16-24*</c:v>
                </c:pt>
                <c:pt idx="1">
                  <c:v>age 25-34*</c:v>
                </c:pt>
                <c:pt idx="2">
                  <c:v>age 35-44</c:v>
                </c:pt>
                <c:pt idx="3">
                  <c:v>age 45-54</c:v>
                </c:pt>
                <c:pt idx="4">
                  <c:v>age 55-64</c:v>
                </c:pt>
              </c:strCache>
            </c:strRef>
          </c:cat>
          <c:val>
            <c:numRef>
              <c:f>Sheet1!$B$2:$B$6</c:f>
              <c:numCache>
                <c:formatCode>0.0</c:formatCode>
                <c:ptCount val="5"/>
                <c:pt idx="0">
                  <c:v>24.648298</c:v>
                </c:pt>
                <c:pt idx="1">
                  <c:v>56.882434000000003</c:v>
                </c:pt>
                <c:pt idx="2">
                  <c:v>60.287387000000003</c:v>
                </c:pt>
                <c:pt idx="3">
                  <c:v>56.900861000000006</c:v>
                </c:pt>
                <c:pt idx="4">
                  <c:v>35.118466999999995</c:v>
                </c:pt>
              </c:numCache>
            </c:numRef>
          </c:val>
          <c:smooth val="0"/>
          <c:extLst>
            <c:ext xmlns:c16="http://schemas.microsoft.com/office/drawing/2014/chart" uri="{C3380CC4-5D6E-409C-BE32-E72D297353CC}">
              <c16:uniqueId val="{00000000-CDE2-4681-8F19-5583BB57D661}"/>
            </c:ext>
          </c:extLst>
        </c:ser>
        <c:ser>
          <c:idx val="1"/>
          <c:order val="1"/>
          <c:tx>
            <c:strRef>
              <c:f>Sheet1!$C$1</c:f>
              <c:strCache>
                <c:ptCount val="1"/>
                <c:pt idx="0">
                  <c:v>EU average (non-disabled)</c:v>
                </c:pt>
              </c:strCache>
            </c:strRef>
          </c:tx>
          <c:cat>
            <c:strRef>
              <c:f>Sheet1!$A$2:$A$6</c:f>
              <c:strCache>
                <c:ptCount val="5"/>
                <c:pt idx="0">
                  <c:v>age 16-24*</c:v>
                </c:pt>
                <c:pt idx="1">
                  <c:v>age 25-34*</c:v>
                </c:pt>
                <c:pt idx="2">
                  <c:v>age 35-44</c:v>
                </c:pt>
                <c:pt idx="3">
                  <c:v>age 45-54</c:v>
                </c:pt>
                <c:pt idx="4">
                  <c:v>age 55-64</c:v>
                </c:pt>
              </c:strCache>
            </c:strRef>
          </c:cat>
          <c:val>
            <c:numRef>
              <c:f>Sheet1!$C$2:$C$6</c:f>
              <c:numCache>
                <c:formatCode>0.0</c:formatCode>
                <c:ptCount val="5"/>
                <c:pt idx="0">
                  <c:v>29.845533000000003</c:v>
                </c:pt>
                <c:pt idx="1">
                  <c:v>75.527184000000005</c:v>
                </c:pt>
                <c:pt idx="2">
                  <c:v>84.206758000000008</c:v>
                </c:pt>
                <c:pt idx="3">
                  <c:v>84.717890999999995</c:v>
                </c:pt>
                <c:pt idx="4">
                  <c:v>61.133055000000006</c:v>
                </c:pt>
              </c:numCache>
            </c:numRef>
          </c:val>
          <c:smooth val="0"/>
          <c:extLst>
            <c:ext xmlns:c16="http://schemas.microsoft.com/office/drawing/2014/chart" uri="{C3380CC4-5D6E-409C-BE32-E72D297353CC}">
              <c16:uniqueId val="{00000001-CDE2-4681-8F19-5583BB57D661}"/>
            </c:ext>
          </c:extLst>
        </c:ser>
        <c:ser>
          <c:idx val="2"/>
          <c:order val="2"/>
          <c:tx>
            <c:strRef>
              <c:f>Sheet1!$D$1</c:f>
              <c:strCache>
                <c:ptCount val="1"/>
                <c:pt idx="0">
                  <c:v>National (disabled)</c:v>
                </c:pt>
              </c:strCache>
            </c:strRef>
          </c:tx>
          <c:cat>
            <c:strRef>
              <c:f>Sheet1!$A$2:$A$6</c:f>
              <c:strCache>
                <c:ptCount val="5"/>
                <c:pt idx="0">
                  <c:v>age 16-24*</c:v>
                </c:pt>
                <c:pt idx="1">
                  <c:v>age 25-34*</c:v>
                </c:pt>
                <c:pt idx="2">
                  <c:v>age 35-44</c:v>
                </c:pt>
                <c:pt idx="3">
                  <c:v>age 45-54</c:v>
                </c:pt>
                <c:pt idx="4">
                  <c:v>age 55-64</c:v>
                </c:pt>
              </c:strCache>
            </c:strRef>
          </c:cat>
          <c:val>
            <c:numRef>
              <c:f>Sheet1!$D$2:$D$6</c:f>
              <c:numCache>
                <c:formatCode>0.0</c:formatCode>
                <c:ptCount val="5"/>
                <c:pt idx="0">
                  <c:v>18.889778</c:v>
                </c:pt>
                <c:pt idx="1">
                  <c:v>25.335286</c:v>
                </c:pt>
                <c:pt idx="2">
                  <c:v>43.293090999999997</c:v>
                </c:pt>
                <c:pt idx="3">
                  <c:v>40.194063</c:v>
                </c:pt>
                <c:pt idx="4">
                  <c:v>18.617735</c:v>
                </c:pt>
              </c:numCache>
            </c:numRef>
          </c:val>
          <c:smooth val="0"/>
          <c:extLst>
            <c:ext xmlns:c16="http://schemas.microsoft.com/office/drawing/2014/chart" uri="{C3380CC4-5D6E-409C-BE32-E72D297353CC}">
              <c16:uniqueId val="{00000002-CDE2-4681-8F19-5583BB57D661}"/>
            </c:ext>
          </c:extLst>
        </c:ser>
        <c:ser>
          <c:idx val="3"/>
          <c:order val="3"/>
          <c:tx>
            <c:strRef>
              <c:f>Sheet1!$E$1</c:f>
              <c:strCache>
                <c:ptCount val="1"/>
                <c:pt idx="0">
                  <c:v>National (non-disabled)</c:v>
                </c:pt>
              </c:strCache>
            </c:strRef>
          </c:tx>
          <c:cat>
            <c:strRef>
              <c:f>Sheet1!$A$2:$A$6</c:f>
              <c:strCache>
                <c:ptCount val="5"/>
                <c:pt idx="0">
                  <c:v>age 16-24*</c:v>
                </c:pt>
                <c:pt idx="1">
                  <c:v>age 25-34*</c:v>
                </c:pt>
                <c:pt idx="2">
                  <c:v>age 35-44</c:v>
                </c:pt>
                <c:pt idx="3">
                  <c:v>age 45-54</c:v>
                </c:pt>
                <c:pt idx="4">
                  <c:v>age 55-64</c:v>
                </c:pt>
              </c:strCache>
            </c:strRef>
          </c:cat>
          <c:val>
            <c:numRef>
              <c:f>Sheet1!$E$2:$E$6</c:f>
              <c:numCache>
                <c:formatCode>0.0</c:formatCode>
                <c:ptCount val="5"/>
                <c:pt idx="0">
                  <c:v>49.725003000000001</c:v>
                </c:pt>
                <c:pt idx="1">
                  <c:v>84.176450000000003</c:v>
                </c:pt>
                <c:pt idx="2">
                  <c:v>81.613676999999996</c:v>
                </c:pt>
                <c:pt idx="3">
                  <c:v>73.294500999999997</c:v>
                </c:pt>
                <c:pt idx="4">
                  <c:v>43.364395000000002</c:v>
                </c:pt>
              </c:numCache>
            </c:numRef>
          </c:val>
          <c:smooth val="0"/>
          <c:extLst>
            <c:ext xmlns:c16="http://schemas.microsoft.com/office/drawing/2014/chart" uri="{C3380CC4-5D6E-409C-BE32-E72D297353CC}">
              <c16:uniqueId val="{00000003-CDE2-4681-8F19-5583BB57D661}"/>
            </c:ext>
          </c:extLst>
        </c:ser>
        <c:dLbls>
          <c:showLegendKey val="0"/>
          <c:showVal val="0"/>
          <c:showCatName val="0"/>
          <c:showSerName val="0"/>
          <c:showPercent val="0"/>
          <c:showBubbleSize val="0"/>
        </c:dLbls>
        <c:marker val="1"/>
        <c:smooth val="0"/>
        <c:axId val="127435520"/>
        <c:axId val="127437056"/>
      </c:lineChart>
      <c:catAx>
        <c:axId val="127435520"/>
        <c:scaling>
          <c:orientation val="minMax"/>
        </c:scaling>
        <c:delete val="0"/>
        <c:axPos val="b"/>
        <c:numFmt formatCode="General" sourceLinked="1"/>
        <c:majorTickMark val="none"/>
        <c:minorTickMark val="none"/>
        <c:tickLblPos val="nextTo"/>
        <c:crossAx val="127437056"/>
        <c:crosses val="autoZero"/>
        <c:auto val="1"/>
        <c:lblAlgn val="ctr"/>
        <c:lblOffset val="100"/>
        <c:noMultiLvlLbl val="0"/>
      </c:catAx>
      <c:valAx>
        <c:axId val="127437056"/>
        <c:scaling>
          <c:orientation val="minMax"/>
        </c:scaling>
        <c:delete val="0"/>
        <c:axPos val="l"/>
        <c:majorGridlines/>
        <c:title>
          <c:tx>
            <c:rich>
              <a:bodyPr/>
              <a:lstStyle/>
              <a:p>
                <a:pPr>
                  <a:defRPr/>
                </a:pPr>
                <a:r>
                  <a:rPr lang="en-GB"/>
                  <a:t>%</a:t>
                </a:r>
              </a:p>
            </c:rich>
          </c:tx>
          <c:overlay val="0"/>
        </c:title>
        <c:numFmt formatCode="0.0" sourceLinked="1"/>
        <c:majorTickMark val="none"/>
        <c:minorTickMark val="none"/>
        <c:tickLblPos val="nextTo"/>
        <c:crossAx val="127435520"/>
        <c:crosses val="autoZero"/>
        <c:crossBetween val="between"/>
        <c:majorUnit val="10"/>
      </c:valAx>
      <c:dTable>
        <c:showHorzBorder val="1"/>
        <c:showVertBorder val="1"/>
        <c:showOutline val="1"/>
        <c:showKeys val="1"/>
      </c:dTable>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Sheet1!$B$1</c:f>
              <c:strCache>
                <c:ptCount val="1"/>
                <c:pt idx="0">
                  <c:v>National (disabled)</c:v>
                </c:pt>
              </c:strCache>
            </c:strRef>
          </c:tx>
          <c:trendline>
            <c:trendlineType val="linear"/>
            <c:dispRSqr val="0"/>
            <c:dispEq val="0"/>
          </c:trendline>
          <c:cat>
            <c:numRef>
              <c:f>Sheet1!$A$2:$A$10</c:f>
              <c:numCache>
                <c:formatCode>General</c:formatCode>
                <c:ptCount val="9"/>
                <c:pt idx="0">
                  <c:v>2008</c:v>
                </c:pt>
                <c:pt idx="1">
                  <c:v>2009</c:v>
                </c:pt>
                <c:pt idx="2">
                  <c:v>2010</c:v>
                </c:pt>
                <c:pt idx="3">
                  <c:v>2011</c:v>
                </c:pt>
                <c:pt idx="4">
                  <c:v>2012</c:v>
                </c:pt>
                <c:pt idx="5">
                  <c:v>2013</c:v>
                </c:pt>
                <c:pt idx="6">
                  <c:v>2014</c:v>
                </c:pt>
                <c:pt idx="7">
                  <c:v>2015</c:v>
                </c:pt>
                <c:pt idx="8">
                  <c:v>2016</c:v>
                </c:pt>
              </c:numCache>
            </c:numRef>
          </c:cat>
          <c:val>
            <c:numRef>
              <c:f>Sheet1!$B$2:$B$10</c:f>
              <c:numCache>
                <c:formatCode>0.0</c:formatCode>
                <c:ptCount val="9"/>
                <c:pt idx="0">
                  <c:v>21.6</c:v>
                </c:pt>
                <c:pt idx="1">
                  <c:v>32</c:v>
                </c:pt>
                <c:pt idx="2">
                  <c:v>25.6</c:v>
                </c:pt>
                <c:pt idx="3">
                  <c:v>31.7</c:v>
                </c:pt>
                <c:pt idx="4">
                  <c:v>21.4</c:v>
                </c:pt>
                <c:pt idx="5">
                  <c:v>28.4</c:v>
                </c:pt>
                <c:pt idx="6">
                  <c:v>28.2</c:v>
                </c:pt>
                <c:pt idx="7">
                  <c:v>25.8</c:v>
                </c:pt>
                <c:pt idx="8">
                  <c:v>29</c:v>
                </c:pt>
              </c:numCache>
            </c:numRef>
          </c:val>
          <c:smooth val="0"/>
          <c:extLst>
            <c:ext xmlns:c16="http://schemas.microsoft.com/office/drawing/2014/chart" uri="{C3380CC4-5D6E-409C-BE32-E72D297353CC}">
              <c16:uniqueId val="{00000001-A795-4D0D-AE07-63A9786FFDCC}"/>
            </c:ext>
          </c:extLst>
        </c:ser>
        <c:ser>
          <c:idx val="1"/>
          <c:order val="1"/>
          <c:tx>
            <c:strRef>
              <c:f>Sheet1!$C$1</c:f>
              <c:strCache>
                <c:ptCount val="1"/>
                <c:pt idx="0">
                  <c:v>National (non-disabled)</c:v>
                </c:pt>
              </c:strCache>
            </c:strRef>
          </c:tx>
          <c:cat>
            <c:numRef>
              <c:f>Sheet1!$A$2:$A$10</c:f>
              <c:numCache>
                <c:formatCode>General</c:formatCode>
                <c:ptCount val="9"/>
                <c:pt idx="0">
                  <c:v>2008</c:v>
                </c:pt>
                <c:pt idx="1">
                  <c:v>2009</c:v>
                </c:pt>
                <c:pt idx="2">
                  <c:v>2010</c:v>
                </c:pt>
                <c:pt idx="3">
                  <c:v>2011</c:v>
                </c:pt>
                <c:pt idx="4">
                  <c:v>2012</c:v>
                </c:pt>
                <c:pt idx="5">
                  <c:v>2013</c:v>
                </c:pt>
                <c:pt idx="6">
                  <c:v>2014</c:v>
                </c:pt>
                <c:pt idx="7">
                  <c:v>2015</c:v>
                </c:pt>
                <c:pt idx="8">
                  <c:v>2016</c:v>
                </c:pt>
              </c:numCache>
            </c:numRef>
          </c:cat>
          <c:val>
            <c:numRef>
              <c:f>Sheet1!$C$2:$C$10</c:f>
              <c:numCache>
                <c:formatCode>0.0</c:formatCode>
                <c:ptCount val="9"/>
                <c:pt idx="0">
                  <c:v>60.7</c:v>
                </c:pt>
                <c:pt idx="1">
                  <c:v>61.6</c:v>
                </c:pt>
                <c:pt idx="2">
                  <c:v>61.7</c:v>
                </c:pt>
                <c:pt idx="3">
                  <c:v>62.3</c:v>
                </c:pt>
                <c:pt idx="4">
                  <c:v>64.400000000000006</c:v>
                </c:pt>
                <c:pt idx="5">
                  <c:v>65</c:v>
                </c:pt>
                <c:pt idx="6">
                  <c:v>66.8</c:v>
                </c:pt>
                <c:pt idx="7">
                  <c:v>68.599999999999994</c:v>
                </c:pt>
                <c:pt idx="8">
                  <c:v>71.84</c:v>
                </c:pt>
              </c:numCache>
            </c:numRef>
          </c:val>
          <c:smooth val="0"/>
          <c:extLst>
            <c:ext xmlns:c16="http://schemas.microsoft.com/office/drawing/2014/chart" uri="{C3380CC4-5D6E-409C-BE32-E72D297353CC}">
              <c16:uniqueId val="{00000002-A795-4D0D-AE07-63A9786FFDCC}"/>
            </c:ext>
          </c:extLst>
        </c:ser>
        <c:ser>
          <c:idx val="2"/>
          <c:order val="2"/>
          <c:tx>
            <c:strRef>
              <c:f>Sheet1!$D$1</c:f>
              <c:strCache>
                <c:ptCount val="1"/>
                <c:pt idx="0">
                  <c:v>EU average (all persons)</c:v>
                </c:pt>
              </c:strCache>
            </c:strRef>
          </c:tx>
          <c:cat>
            <c:numRef>
              <c:f>Sheet1!$A$2:$A$10</c:f>
              <c:numCache>
                <c:formatCode>General</c:formatCode>
                <c:ptCount val="9"/>
                <c:pt idx="0">
                  <c:v>2008</c:v>
                </c:pt>
                <c:pt idx="1">
                  <c:v>2009</c:v>
                </c:pt>
                <c:pt idx="2">
                  <c:v>2010</c:v>
                </c:pt>
                <c:pt idx="3">
                  <c:v>2011</c:v>
                </c:pt>
                <c:pt idx="4">
                  <c:v>2012</c:v>
                </c:pt>
                <c:pt idx="5">
                  <c:v>2013</c:v>
                </c:pt>
                <c:pt idx="6">
                  <c:v>2014</c:v>
                </c:pt>
                <c:pt idx="7">
                  <c:v>2015</c:v>
                </c:pt>
                <c:pt idx="8">
                  <c:v>2016</c:v>
                </c:pt>
              </c:numCache>
            </c:numRef>
          </c:cat>
          <c:val>
            <c:numRef>
              <c:f>Sheet1!$D$2:$D$10</c:f>
              <c:numCache>
                <c:formatCode>0.0</c:formatCode>
                <c:ptCount val="9"/>
                <c:pt idx="0">
                  <c:v>68.7</c:v>
                </c:pt>
                <c:pt idx="1">
                  <c:v>67.599999999999994</c:v>
                </c:pt>
                <c:pt idx="2">
                  <c:v>67.2</c:v>
                </c:pt>
                <c:pt idx="3">
                  <c:v>67.2</c:v>
                </c:pt>
                <c:pt idx="4">
                  <c:v>67</c:v>
                </c:pt>
                <c:pt idx="5">
                  <c:v>66.900000000000006</c:v>
                </c:pt>
                <c:pt idx="6">
                  <c:v>67.8</c:v>
                </c:pt>
                <c:pt idx="7">
                  <c:v>68.37</c:v>
                </c:pt>
                <c:pt idx="8">
                  <c:v>69.3</c:v>
                </c:pt>
              </c:numCache>
            </c:numRef>
          </c:val>
          <c:smooth val="0"/>
          <c:extLst>
            <c:ext xmlns:c16="http://schemas.microsoft.com/office/drawing/2014/chart" uri="{C3380CC4-5D6E-409C-BE32-E72D297353CC}">
              <c16:uniqueId val="{00000003-A795-4D0D-AE07-63A9786FFDCC}"/>
            </c:ext>
          </c:extLst>
        </c:ser>
        <c:dLbls>
          <c:showLegendKey val="0"/>
          <c:showVal val="0"/>
          <c:showCatName val="0"/>
          <c:showSerName val="0"/>
          <c:showPercent val="0"/>
          <c:showBubbleSize val="0"/>
        </c:dLbls>
        <c:marker val="1"/>
        <c:smooth val="0"/>
        <c:axId val="127408000"/>
        <c:axId val="127409536"/>
      </c:lineChart>
      <c:catAx>
        <c:axId val="127408000"/>
        <c:scaling>
          <c:orientation val="minMax"/>
        </c:scaling>
        <c:delete val="0"/>
        <c:axPos val="b"/>
        <c:numFmt formatCode="General" sourceLinked="1"/>
        <c:majorTickMark val="none"/>
        <c:minorTickMark val="none"/>
        <c:tickLblPos val="nextTo"/>
        <c:crossAx val="127409536"/>
        <c:crosses val="autoZero"/>
        <c:auto val="1"/>
        <c:lblAlgn val="ctr"/>
        <c:lblOffset val="100"/>
        <c:noMultiLvlLbl val="0"/>
      </c:catAx>
      <c:valAx>
        <c:axId val="127409536"/>
        <c:scaling>
          <c:orientation val="minMax"/>
          <c:max val="90"/>
          <c:min val="20"/>
        </c:scaling>
        <c:delete val="0"/>
        <c:axPos val="l"/>
        <c:majorGridlines/>
        <c:title>
          <c:tx>
            <c:rich>
              <a:bodyPr/>
              <a:lstStyle/>
              <a:p>
                <a:pPr>
                  <a:defRPr/>
                </a:pPr>
                <a:r>
                  <a:rPr lang="en-GB"/>
                  <a:t>%</a:t>
                </a:r>
              </a:p>
            </c:rich>
          </c:tx>
          <c:overlay val="0"/>
        </c:title>
        <c:numFmt formatCode="0.0" sourceLinked="1"/>
        <c:majorTickMark val="none"/>
        <c:minorTickMark val="none"/>
        <c:tickLblPos val="nextTo"/>
        <c:crossAx val="127408000"/>
        <c:crosses val="autoZero"/>
        <c:crossBetween val="between"/>
      </c:valAx>
      <c:dTable>
        <c:showHorzBorder val="1"/>
        <c:showVertBorder val="1"/>
        <c:showOutline val="1"/>
        <c:showKeys val="1"/>
      </c:dTable>
    </c:plotArea>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Sheet1!$B$1</c:f>
              <c:strCache>
                <c:ptCount val="1"/>
                <c:pt idx="0">
                  <c:v>EU average</c:v>
                </c:pt>
              </c:strCache>
            </c:strRef>
          </c:tx>
          <c:invertIfNegative val="0"/>
          <c:cat>
            <c:strRef>
              <c:f>Sheet1!$A$2:$A$7</c:f>
              <c:strCache>
                <c:ptCount val="6"/>
                <c:pt idx="0">
                  <c:v>Disabled women</c:v>
                </c:pt>
                <c:pt idx="1">
                  <c:v>Disabled men</c:v>
                </c:pt>
                <c:pt idx="2">
                  <c:v>Non-disabled women</c:v>
                </c:pt>
                <c:pt idx="3">
                  <c:v>Non-disabled men</c:v>
                </c:pt>
                <c:pt idx="4">
                  <c:v>Disabled total</c:v>
                </c:pt>
                <c:pt idx="5">
                  <c:v>Non-disabled total</c:v>
                </c:pt>
              </c:strCache>
            </c:strRef>
          </c:cat>
          <c:val>
            <c:numRef>
              <c:f>Sheet1!$B$2:$B$7</c:f>
              <c:numCache>
                <c:formatCode>0.0</c:formatCode>
                <c:ptCount val="6"/>
                <c:pt idx="0">
                  <c:v>18.79</c:v>
                </c:pt>
                <c:pt idx="1">
                  <c:v>20.350000000000001</c:v>
                </c:pt>
                <c:pt idx="2">
                  <c:v>10.61</c:v>
                </c:pt>
                <c:pt idx="3">
                  <c:v>9.68</c:v>
                </c:pt>
                <c:pt idx="4">
                  <c:v>19.55</c:v>
                </c:pt>
                <c:pt idx="5">
                  <c:v>10.11</c:v>
                </c:pt>
              </c:numCache>
            </c:numRef>
          </c:val>
          <c:extLst>
            <c:ext xmlns:c16="http://schemas.microsoft.com/office/drawing/2014/chart" uri="{C3380CC4-5D6E-409C-BE32-E72D297353CC}">
              <c16:uniqueId val="{00000000-25DB-4DF9-9F17-FEBF3931EA50}"/>
            </c:ext>
          </c:extLst>
        </c:ser>
        <c:ser>
          <c:idx val="1"/>
          <c:order val="1"/>
          <c:tx>
            <c:strRef>
              <c:f>Sheet1!$C$1</c:f>
              <c:strCache>
                <c:ptCount val="1"/>
                <c:pt idx="0">
                  <c:v>National average</c:v>
                </c:pt>
              </c:strCache>
            </c:strRef>
          </c:tx>
          <c:invertIfNegative val="0"/>
          <c:cat>
            <c:strRef>
              <c:f>Sheet1!$A$2:$A$7</c:f>
              <c:strCache>
                <c:ptCount val="6"/>
                <c:pt idx="0">
                  <c:v>Disabled women</c:v>
                </c:pt>
                <c:pt idx="1">
                  <c:v>Disabled men</c:v>
                </c:pt>
                <c:pt idx="2">
                  <c:v>Non-disabled women</c:v>
                </c:pt>
                <c:pt idx="3">
                  <c:v>Non-disabled men</c:v>
                </c:pt>
                <c:pt idx="4">
                  <c:v>Disabled total</c:v>
                </c:pt>
                <c:pt idx="5">
                  <c:v>Non-disabled total</c:v>
                </c:pt>
              </c:strCache>
            </c:strRef>
          </c:cat>
          <c:val>
            <c:numRef>
              <c:f>Sheet1!$C$2:$C$7</c:f>
              <c:numCache>
                <c:formatCode>0.0</c:formatCode>
                <c:ptCount val="6"/>
                <c:pt idx="0">
                  <c:v>4.68</c:v>
                </c:pt>
                <c:pt idx="1">
                  <c:v>20.11</c:v>
                </c:pt>
                <c:pt idx="2">
                  <c:v>2.04</c:v>
                </c:pt>
                <c:pt idx="3">
                  <c:v>4.01</c:v>
                </c:pt>
                <c:pt idx="4">
                  <c:v>14.37</c:v>
                </c:pt>
                <c:pt idx="5">
                  <c:v>3.24</c:v>
                </c:pt>
              </c:numCache>
            </c:numRef>
          </c:val>
          <c:extLst>
            <c:ext xmlns:c16="http://schemas.microsoft.com/office/drawing/2014/chart" uri="{C3380CC4-5D6E-409C-BE32-E72D297353CC}">
              <c16:uniqueId val="{00000001-25DB-4DF9-9F17-FEBF3931EA50}"/>
            </c:ext>
          </c:extLst>
        </c:ser>
        <c:dLbls>
          <c:showLegendKey val="0"/>
          <c:showVal val="0"/>
          <c:showCatName val="0"/>
          <c:showSerName val="0"/>
          <c:showPercent val="0"/>
          <c:showBubbleSize val="0"/>
        </c:dLbls>
        <c:gapWidth val="150"/>
        <c:axId val="128595456"/>
        <c:axId val="128596992"/>
      </c:barChart>
      <c:catAx>
        <c:axId val="128595456"/>
        <c:scaling>
          <c:orientation val="minMax"/>
        </c:scaling>
        <c:delete val="0"/>
        <c:axPos val="b"/>
        <c:numFmt formatCode="General" sourceLinked="1"/>
        <c:majorTickMark val="none"/>
        <c:minorTickMark val="none"/>
        <c:tickLblPos val="nextTo"/>
        <c:crossAx val="128596992"/>
        <c:crosses val="autoZero"/>
        <c:auto val="1"/>
        <c:lblAlgn val="ctr"/>
        <c:lblOffset val="100"/>
        <c:noMultiLvlLbl val="0"/>
      </c:catAx>
      <c:valAx>
        <c:axId val="128596992"/>
        <c:scaling>
          <c:orientation val="minMax"/>
        </c:scaling>
        <c:delete val="0"/>
        <c:axPos val="l"/>
        <c:majorGridlines/>
        <c:title>
          <c:tx>
            <c:rich>
              <a:bodyPr/>
              <a:lstStyle/>
              <a:p>
                <a:pPr>
                  <a:defRPr/>
                </a:pPr>
                <a:r>
                  <a:rPr lang="en-GB"/>
                  <a:t>%</a:t>
                </a:r>
              </a:p>
            </c:rich>
          </c:tx>
          <c:overlay val="0"/>
        </c:title>
        <c:numFmt formatCode="0.0" sourceLinked="1"/>
        <c:majorTickMark val="none"/>
        <c:minorTickMark val="none"/>
        <c:tickLblPos val="nextTo"/>
        <c:crossAx val="128595456"/>
        <c:crosses val="autoZero"/>
        <c:crossBetween val="between"/>
      </c:valAx>
      <c:dTable>
        <c:showHorzBorder val="1"/>
        <c:showVertBorder val="1"/>
        <c:showOutline val="1"/>
        <c:showKeys val="1"/>
      </c:dTable>
    </c:plotArea>
    <c:plotVisOnly val="1"/>
    <c:dispBlanksAs val="gap"/>
    <c:showDLblsOverMax val="0"/>
  </c:chart>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Sheet1!$B$1</c:f>
              <c:strCache>
                <c:ptCount val="1"/>
                <c:pt idx="0">
                  <c:v>EU (disabled)</c:v>
                </c:pt>
              </c:strCache>
            </c:strRef>
          </c:tx>
          <c:cat>
            <c:strRef>
              <c:f>Sheet1!$A$2:$A$6</c:f>
              <c:strCache>
                <c:ptCount val="5"/>
                <c:pt idx="0">
                  <c:v>age 16-24*</c:v>
                </c:pt>
                <c:pt idx="1">
                  <c:v>age 25-34*</c:v>
                </c:pt>
                <c:pt idx="2">
                  <c:v>age 35-44</c:v>
                </c:pt>
                <c:pt idx="3">
                  <c:v>age 45-54</c:v>
                </c:pt>
                <c:pt idx="4">
                  <c:v>age 55-64</c:v>
                </c:pt>
              </c:strCache>
            </c:strRef>
          </c:cat>
          <c:val>
            <c:numRef>
              <c:f>Sheet1!$B$2:$B$6</c:f>
              <c:numCache>
                <c:formatCode>0.0</c:formatCode>
                <c:ptCount val="5"/>
                <c:pt idx="0">
                  <c:v>29.421489999999999</c:v>
                </c:pt>
                <c:pt idx="1">
                  <c:v>19.999627</c:v>
                </c:pt>
                <c:pt idx="2">
                  <c:v>18.628742000000003</c:v>
                </c:pt>
                <c:pt idx="3">
                  <c:v>17.531600999999998</c:v>
                </c:pt>
                <c:pt idx="4">
                  <c:v>21.226018</c:v>
                </c:pt>
              </c:numCache>
            </c:numRef>
          </c:val>
          <c:smooth val="0"/>
          <c:extLst>
            <c:ext xmlns:c16="http://schemas.microsoft.com/office/drawing/2014/chart" uri="{C3380CC4-5D6E-409C-BE32-E72D297353CC}">
              <c16:uniqueId val="{00000000-BDC5-43D5-8BEB-684EDF63A166}"/>
            </c:ext>
          </c:extLst>
        </c:ser>
        <c:ser>
          <c:idx val="1"/>
          <c:order val="1"/>
          <c:tx>
            <c:strRef>
              <c:f>Sheet1!$C$1</c:f>
              <c:strCache>
                <c:ptCount val="1"/>
                <c:pt idx="0">
                  <c:v>EU (non-disabled)</c:v>
                </c:pt>
              </c:strCache>
            </c:strRef>
          </c:tx>
          <c:cat>
            <c:strRef>
              <c:f>Sheet1!$A$2:$A$6</c:f>
              <c:strCache>
                <c:ptCount val="5"/>
                <c:pt idx="0">
                  <c:v>age 16-24*</c:v>
                </c:pt>
                <c:pt idx="1">
                  <c:v>age 25-34*</c:v>
                </c:pt>
                <c:pt idx="2">
                  <c:v>age 35-44</c:v>
                </c:pt>
                <c:pt idx="3">
                  <c:v>age 45-54</c:v>
                </c:pt>
                <c:pt idx="4">
                  <c:v>age 55-64</c:v>
                </c:pt>
              </c:strCache>
            </c:strRef>
          </c:cat>
          <c:val>
            <c:numRef>
              <c:f>Sheet1!$C$2:$C$6</c:f>
              <c:numCache>
                <c:formatCode>0.0</c:formatCode>
                <c:ptCount val="5"/>
                <c:pt idx="0">
                  <c:v>21.915232</c:v>
                </c:pt>
                <c:pt idx="1">
                  <c:v>11.923494</c:v>
                </c:pt>
                <c:pt idx="2">
                  <c:v>8.4841749999999987</c:v>
                </c:pt>
                <c:pt idx="3">
                  <c:v>7.5628909999999996</c:v>
                </c:pt>
                <c:pt idx="4">
                  <c:v>9.7703689999999987</c:v>
                </c:pt>
              </c:numCache>
            </c:numRef>
          </c:val>
          <c:smooth val="0"/>
          <c:extLst>
            <c:ext xmlns:c16="http://schemas.microsoft.com/office/drawing/2014/chart" uri="{C3380CC4-5D6E-409C-BE32-E72D297353CC}">
              <c16:uniqueId val="{00000001-BDC5-43D5-8BEB-684EDF63A166}"/>
            </c:ext>
          </c:extLst>
        </c:ser>
        <c:ser>
          <c:idx val="2"/>
          <c:order val="2"/>
          <c:tx>
            <c:strRef>
              <c:f>Sheet1!$D$1</c:f>
              <c:strCache>
                <c:ptCount val="1"/>
                <c:pt idx="0">
                  <c:v>National (disabled)</c:v>
                </c:pt>
              </c:strCache>
            </c:strRef>
          </c:tx>
          <c:cat>
            <c:strRef>
              <c:f>Sheet1!$A$2:$A$6</c:f>
              <c:strCache>
                <c:ptCount val="5"/>
                <c:pt idx="0">
                  <c:v>age 16-24*</c:v>
                </c:pt>
                <c:pt idx="1">
                  <c:v>age 25-34*</c:v>
                </c:pt>
                <c:pt idx="2">
                  <c:v>age 35-44</c:v>
                </c:pt>
                <c:pt idx="3">
                  <c:v>age 45-54</c:v>
                </c:pt>
                <c:pt idx="4">
                  <c:v>age 55-64</c:v>
                </c:pt>
              </c:strCache>
            </c:strRef>
          </c:cat>
          <c:val>
            <c:numRef>
              <c:f>Sheet1!$D$2:$D$6</c:f>
              <c:numCache>
                <c:formatCode>0.0</c:formatCode>
                <c:ptCount val="5"/>
                <c:pt idx="1">
                  <c:v>31.659649999999999</c:v>
                </c:pt>
                <c:pt idx="2">
                  <c:v>15.68407</c:v>
                </c:pt>
                <c:pt idx="3">
                  <c:v>13.509198999999999</c:v>
                </c:pt>
                <c:pt idx="4">
                  <c:v>8.0186139999999995</c:v>
                </c:pt>
              </c:numCache>
            </c:numRef>
          </c:val>
          <c:smooth val="0"/>
          <c:extLst>
            <c:ext xmlns:c16="http://schemas.microsoft.com/office/drawing/2014/chart" uri="{C3380CC4-5D6E-409C-BE32-E72D297353CC}">
              <c16:uniqueId val="{00000002-BDC5-43D5-8BEB-684EDF63A166}"/>
            </c:ext>
          </c:extLst>
        </c:ser>
        <c:ser>
          <c:idx val="3"/>
          <c:order val="3"/>
          <c:tx>
            <c:strRef>
              <c:f>Sheet1!$E$1</c:f>
              <c:strCache>
                <c:ptCount val="1"/>
                <c:pt idx="0">
                  <c:v>National (non-disabled)</c:v>
                </c:pt>
              </c:strCache>
            </c:strRef>
          </c:tx>
          <c:cat>
            <c:strRef>
              <c:f>Sheet1!$A$2:$A$6</c:f>
              <c:strCache>
                <c:ptCount val="5"/>
                <c:pt idx="0">
                  <c:v>age 16-24*</c:v>
                </c:pt>
                <c:pt idx="1">
                  <c:v>age 25-34*</c:v>
                </c:pt>
                <c:pt idx="2">
                  <c:v>age 35-44</c:v>
                </c:pt>
                <c:pt idx="3">
                  <c:v>age 45-54</c:v>
                </c:pt>
                <c:pt idx="4">
                  <c:v>age 55-64</c:v>
                </c:pt>
              </c:strCache>
            </c:strRef>
          </c:cat>
          <c:val>
            <c:numRef>
              <c:f>Sheet1!$E$2:$E$6</c:f>
              <c:numCache>
                <c:formatCode>0.0</c:formatCode>
                <c:ptCount val="5"/>
                <c:pt idx="0">
                  <c:v>7.1701639999999998</c:v>
                </c:pt>
                <c:pt idx="1">
                  <c:v>4.2248849999999996</c:v>
                </c:pt>
                <c:pt idx="2">
                  <c:v>2.0933219999999997</c:v>
                </c:pt>
                <c:pt idx="3">
                  <c:v>2.0367440000000001</c:v>
                </c:pt>
                <c:pt idx="4">
                  <c:v>3.337701</c:v>
                </c:pt>
              </c:numCache>
            </c:numRef>
          </c:val>
          <c:smooth val="0"/>
          <c:extLst>
            <c:ext xmlns:c16="http://schemas.microsoft.com/office/drawing/2014/chart" uri="{C3380CC4-5D6E-409C-BE32-E72D297353CC}">
              <c16:uniqueId val="{00000003-BDC5-43D5-8BEB-684EDF63A166}"/>
            </c:ext>
          </c:extLst>
        </c:ser>
        <c:dLbls>
          <c:showLegendKey val="0"/>
          <c:showVal val="0"/>
          <c:showCatName val="0"/>
          <c:showSerName val="0"/>
          <c:showPercent val="0"/>
          <c:showBubbleSize val="0"/>
        </c:dLbls>
        <c:marker val="1"/>
        <c:smooth val="0"/>
        <c:axId val="131222528"/>
        <c:axId val="131228416"/>
      </c:lineChart>
      <c:catAx>
        <c:axId val="131222528"/>
        <c:scaling>
          <c:orientation val="minMax"/>
        </c:scaling>
        <c:delete val="0"/>
        <c:axPos val="b"/>
        <c:numFmt formatCode="General" sourceLinked="1"/>
        <c:majorTickMark val="none"/>
        <c:minorTickMark val="none"/>
        <c:tickLblPos val="nextTo"/>
        <c:crossAx val="131228416"/>
        <c:crosses val="autoZero"/>
        <c:auto val="1"/>
        <c:lblAlgn val="ctr"/>
        <c:lblOffset val="100"/>
        <c:noMultiLvlLbl val="0"/>
      </c:catAx>
      <c:valAx>
        <c:axId val="131228416"/>
        <c:scaling>
          <c:orientation val="minMax"/>
        </c:scaling>
        <c:delete val="0"/>
        <c:axPos val="l"/>
        <c:majorGridlines/>
        <c:title>
          <c:tx>
            <c:rich>
              <a:bodyPr/>
              <a:lstStyle/>
              <a:p>
                <a:pPr>
                  <a:defRPr/>
                </a:pPr>
                <a:r>
                  <a:rPr lang="en-GB"/>
                  <a:t>%</a:t>
                </a:r>
              </a:p>
            </c:rich>
          </c:tx>
          <c:overlay val="0"/>
        </c:title>
        <c:numFmt formatCode="0.0" sourceLinked="1"/>
        <c:majorTickMark val="none"/>
        <c:minorTickMark val="none"/>
        <c:tickLblPos val="nextTo"/>
        <c:crossAx val="131222528"/>
        <c:crosses val="autoZero"/>
        <c:crossBetween val="between"/>
      </c:valAx>
      <c:dTable>
        <c:showHorzBorder val="1"/>
        <c:showVertBorder val="1"/>
        <c:showOutline val="1"/>
        <c:showKeys val="1"/>
      </c:dTable>
    </c:plotArea>
    <c:plotVisOnly val="1"/>
    <c:dispBlanksAs val="gap"/>
    <c:showDLblsOverMax val="0"/>
  </c:chart>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Sheet1!$B$1</c:f>
              <c:strCache>
                <c:ptCount val="1"/>
                <c:pt idx="0">
                  <c:v>National (disabled)</c:v>
                </c:pt>
              </c:strCache>
            </c:strRef>
          </c:tx>
          <c:trendline>
            <c:trendlineType val="linear"/>
            <c:dispRSqr val="0"/>
            <c:dispEq val="0"/>
          </c:trendline>
          <c:trendline>
            <c:trendlineType val="linear"/>
            <c:dispRSqr val="0"/>
            <c:dispEq val="0"/>
          </c:trendline>
          <c:cat>
            <c:numRef>
              <c:f>Sheet1!$A$2:$A$10</c:f>
              <c:numCache>
                <c:formatCode>General</c:formatCode>
                <c:ptCount val="9"/>
                <c:pt idx="0">
                  <c:v>2008</c:v>
                </c:pt>
                <c:pt idx="1">
                  <c:v>2009</c:v>
                </c:pt>
                <c:pt idx="2">
                  <c:v>2010</c:v>
                </c:pt>
                <c:pt idx="3">
                  <c:v>2011</c:v>
                </c:pt>
                <c:pt idx="4">
                  <c:v>2012</c:v>
                </c:pt>
                <c:pt idx="5">
                  <c:v>2013</c:v>
                </c:pt>
                <c:pt idx="6">
                  <c:v>2014</c:v>
                </c:pt>
                <c:pt idx="7">
                  <c:v>2015</c:v>
                </c:pt>
                <c:pt idx="8">
                  <c:v>2016</c:v>
                </c:pt>
              </c:numCache>
            </c:numRef>
          </c:cat>
          <c:val>
            <c:numRef>
              <c:f>Sheet1!$B$2:$B$10</c:f>
              <c:numCache>
                <c:formatCode>0.0</c:formatCode>
                <c:ptCount val="9"/>
                <c:pt idx="1">
                  <c:v>17.600000000000001</c:v>
                </c:pt>
                <c:pt idx="2">
                  <c:v>26.7</c:v>
                </c:pt>
                <c:pt idx="3">
                  <c:v>13.2</c:v>
                </c:pt>
                <c:pt idx="4">
                  <c:v>21</c:v>
                </c:pt>
                <c:pt idx="5">
                  <c:v>20.7</c:v>
                </c:pt>
                <c:pt idx="6">
                  <c:v>18.7</c:v>
                </c:pt>
                <c:pt idx="7">
                  <c:v>17.600000000000001</c:v>
                </c:pt>
                <c:pt idx="8">
                  <c:v>14.37</c:v>
                </c:pt>
              </c:numCache>
            </c:numRef>
          </c:val>
          <c:smooth val="0"/>
          <c:extLst>
            <c:ext xmlns:c16="http://schemas.microsoft.com/office/drawing/2014/chart" uri="{C3380CC4-5D6E-409C-BE32-E72D297353CC}">
              <c16:uniqueId val="{00000002-AD78-4FA1-B0FA-E3494CC3CABC}"/>
            </c:ext>
          </c:extLst>
        </c:ser>
        <c:ser>
          <c:idx val="1"/>
          <c:order val="1"/>
          <c:tx>
            <c:strRef>
              <c:f>Sheet1!$C$1</c:f>
              <c:strCache>
                <c:ptCount val="1"/>
                <c:pt idx="0">
                  <c:v>National (non-disabled)</c:v>
                </c:pt>
              </c:strCache>
            </c:strRef>
          </c:tx>
          <c:cat>
            <c:numRef>
              <c:f>Sheet1!$A$2:$A$10</c:f>
              <c:numCache>
                <c:formatCode>General</c:formatCode>
                <c:ptCount val="9"/>
                <c:pt idx="0">
                  <c:v>2008</c:v>
                </c:pt>
                <c:pt idx="1">
                  <c:v>2009</c:v>
                </c:pt>
                <c:pt idx="2">
                  <c:v>2010</c:v>
                </c:pt>
                <c:pt idx="3">
                  <c:v>2011</c:v>
                </c:pt>
                <c:pt idx="4">
                  <c:v>2012</c:v>
                </c:pt>
                <c:pt idx="5">
                  <c:v>2013</c:v>
                </c:pt>
                <c:pt idx="6">
                  <c:v>2014</c:v>
                </c:pt>
                <c:pt idx="7">
                  <c:v>2015</c:v>
                </c:pt>
                <c:pt idx="8">
                  <c:v>2016</c:v>
                </c:pt>
              </c:numCache>
            </c:numRef>
          </c:cat>
          <c:val>
            <c:numRef>
              <c:f>Sheet1!$C$2:$C$10</c:f>
              <c:numCache>
                <c:formatCode>0.0</c:formatCode>
                <c:ptCount val="9"/>
                <c:pt idx="1">
                  <c:v>6.1</c:v>
                </c:pt>
                <c:pt idx="2">
                  <c:v>5.5</c:v>
                </c:pt>
                <c:pt idx="3">
                  <c:v>5.2</c:v>
                </c:pt>
                <c:pt idx="4">
                  <c:v>5.2</c:v>
                </c:pt>
                <c:pt idx="5">
                  <c:v>4.7</c:v>
                </c:pt>
                <c:pt idx="6">
                  <c:v>4.5999999999999996</c:v>
                </c:pt>
                <c:pt idx="7">
                  <c:v>4.3</c:v>
                </c:pt>
                <c:pt idx="8">
                  <c:v>3.24</c:v>
                </c:pt>
              </c:numCache>
            </c:numRef>
          </c:val>
          <c:smooth val="0"/>
          <c:extLst>
            <c:ext xmlns:c16="http://schemas.microsoft.com/office/drawing/2014/chart" uri="{C3380CC4-5D6E-409C-BE32-E72D297353CC}">
              <c16:uniqueId val="{00000003-AD78-4FA1-B0FA-E3494CC3CABC}"/>
            </c:ext>
          </c:extLst>
        </c:ser>
        <c:ser>
          <c:idx val="2"/>
          <c:order val="2"/>
          <c:tx>
            <c:strRef>
              <c:f>Sheet1!$D$1</c:f>
              <c:strCache>
                <c:ptCount val="1"/>
                <c:pt idx="0">
                  <c:v>EU average (all persons)</c:v>
                </c:pt>
              </c:strCache>
            </c:strRef>
          </c:tx>
          <c:cat>
            <c:numRef>
              <c:f>Sheet1!$A$2:$A$10</c:f>
              <c:numCache>
                <c:formatCode>General</c:formatCode>
                <c:ptCount val="9"/>
                <c:pt idx="0">
                  <c:v>2008</c:v>
                </c:pt>
                <c:pt idx="1">
                  <c:v>2009</c:v>
                </c:pt>
                <c:pt idx="2">
                  <c:v>2010</c:v>
                </c:pt>
                <c:pt idx="3">
                  <c:v>2011</c:v>
                </c:pt>
                <c:pt idx="4">
                  <c:v>2012</c:v>
                </c:pt>
                <c:pt idx="5">
                  <c:v>2013</c:v>
                </c:pt>
                <c:pt idx="6">
                  <c:v>2014</c:v>
                </c:pt>
                <c:pt idx="7">
                  <c:v>2015</c:v>
                </c:pt>
                <c:pt idx="8">
                  <c:v>2016</c:v>
                </c:pt>
              </c:numCache>
            </c:numRef>
          </c:cat>
          <c:val>
            <c:numRef>
              <c:f>Sheet1!$D$2:$D$10</c:f>
              <c:numCache>
                <c:formatCode>0.0</c:formatCode>
                <c:ptCount val="9"/>
                <c:pt idx="0">
                  <c:v>8.4</c:v>
                </c:pt>
                <c:pt idx="1">
                  <c:v>10.199999999999999</c:v>
                </c:pt>
                <c:pt idx="2">
                  <c:v>10.9</c:v>
                </c:pt>
                <c:pt idx="3">
                  <c:v>11.3</c:v>
                </c:pt>
                <c:pt idx="4">
                  <c:v>12.2</c:v>
                </c:pt>
                <c:pt idx="5">
                  <c:v>12.9</c:v>
                </c:pt>
                <c:pt idx="6">
                  <c:v>12.6</c:v>
                </c:pt>
                <c:pt idx="7">
                  <c:v>12.1</c:v>
                </c:pt>
                <c:pt idx="8">
                  <c:v>11.4</c:v>
                </c:pt>
              </c:numCache>
            </c:numRef>
          </c:val>
          <c:smooth val="0"/>
          <c:extLst>
            <c:ext xmlns:c16="http://schemas.microsoft.com/office/drawing/2014/chart" uri="{C3380CC4-5D6E-409C-BE32-E72D297353CC}">
              <c16:uniqueId val="{00000004-AD78-4FA1-B0FA-E3494CC3CABC}"/>
            </c:ext>
          </c:extLst>
        </c:ser>
        <c:dLbls>
          <c:showLegendKey val="0"/>
          <c:showVal val="0"/>
          <c:showCatName val="0"/>
          <c:showSerName val="0"/>
          <c:showPercent val="0"/>
          <c:showBubbleSize val="0"/>
        </c:dLbls>
        <c:marker val="1"/>
        <c:smooth val="0"/>
        <c:axId val="131282048"/>
        <c:axId val="131283584"/>
      </c:lineChart>
      <c:catAx>
        <c:axId val="131282048"/>
        <c:scaling>
          <c:orientation val="minMax"/>
        </c:scaling>
        <c:delete val="0"/>
        <c:axPos val="b"/>
        <c:numFmt formatCode="General" sourceLinked="1"/>
        <c:majorTickMark val="none"/>
        <c:minorTickMark val="none"/>
        <c:tickLblPos val="nextTo"/>
        <c:crossAx val="131283584"/>
        <c:crosses val="autoZero"/>
        <c:auto val="1"/>
        <c:lblAlgn val="ctr"/>
        <c:lblOffset val="100"/>
        <c:noMultiLvlLbl val="0"/>
      </c:catAx>
      <c:valAx>
        <c:axId val="131283584"/>
        <c:scaling>
          <c:orientation val="minMax"/>
          <c:max val="40"/>
          <c:min val="0"/>
        </c:scaling>
        <c:delete val="0"/>
        <c:axPos val="l"/>
        <c:majorGridlines/>
        <c:title>
          <c:tx>
            <c:rich>
              <a:bodyPr/>
              <a:lstStyle/>
              <a:p>
                <a:pPr>
                  <a:defRPr/>
                </a:pPr>
                <a:r>
                  <a:rPr lang="en-GB"/>
                  <a:t>%</a:t>
                </a:r>
              </a:p>
            </c:rich>
          </c:tx>
          <c:overlay val="0"/>
        </c:title>
        <c:numFmt formatCode="0.0" sourceLinked="1"/>
        <c:majorTickMark val="none"/>
        <c:minorTickMark val="none"/>
        <c:tickLblPos val="nextTo"/>
        <c:crossAx val="131282048"/>
        <c:crosses val="autoZero"/>
        <c:crossBetween val="between"/>
      </c:valAx>
      <c:dTable>
        <c:showHorzBorder val="1"/>
        <c:showVertBorder val="1"/>
        <c:showOutline val="1"/>
        <c:showKeys val="1"/>
      </c:dTable>
    </c:plotArea>
    <c:plotVisOnly val="1"/>
    <c:dispBlanksAs val="gap"/>
    <c:showDLblsOverMax val="0"/>
  </c:chart>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Sheet1!$B$1</c:f>
              <c:strCache>
                <c:ptCount val="1"/>
                <c:pt idx="0">
                  <c:v>EU average</c:v>
                </c:pt>
              </c:strCache>
            </c:strRef>
          </c:tx>
          <c:invertIfNegative val="0"/>
          <c:cat>
            <c:strRef>
              <c:f>Sheet1!$A$2:$A$7</c:f>
              <c:strCache>
                <c:ptCount val="6"/>
                <c:pt idx="0">
                  <c:v>Disabled women</c:v>
                </c:pt>
                <c:pt idx="1">
                  <c:v>Disabled men</c:v>
                </c:pt>
                <c:pt idx="2">
                  <c:v>Non-disabled women</c:v>
                </c:pt>
                <c:pt idx="3">
                  <c:v>Non-disabled men</c:v>
                </c:pt>
                <c:pt idx="4">
                  <c:v>Disabled total</c:v>
                </c:pt>
                <c:pt idx="5">
                  <c:v>Non-disabled total</c:v>
                </c:pt>
              </c:strCache>
            </c:strRef>
          </c:cat>
          <c:val>
            <c:numRef>
              <c:f>Sheet1!$B$2:$B$7</c:f>
              <c:numCache>
                <c:formatCode>0.0</c:formatCode>
                <c:ptCount val="6"/>
                <c:pt idx="0">
                  <c:v>56.54</c:v>
                </c:pt>
                <c:pt idx="1">
                  <c:v>63.48</c:v>
                </c:pt>
                <c:pt idx="2">
                  <c:v>75.7</c:v>
                </c:pt>
                <c:pt idx="3">
                  <c:v>88.6</c:v>
                </c:pt>
                <c:pt idx="4">
                  <c:v>59.74</c:v>
                </c:pt>
                <c:pt idx="5">
                  <c:v>82.17</c:v>
                </c:pt>
              </c:numCache>
            </c:numRef>
          </c:val>
          <c:extLst>
            <c:ext xmlns:c16="http://schemas.microsoft.com/office/drawing/2014/chart" uri="{C3380CC4-5D6E-409C-BE32-E72D297353CC}">
              <c16:uniqueId val="{00000000-B051-493A-9E21-45E73BE0D59B}"/>
            </c:ext>
          </c:extLst>
        </c:ser>
        <c:ser>
          <c:idx val="1"/>
          <c:order val="1"/>
          <c:tx>
            <c:strRef>
              <c:f>Sheet1!$C$1</c:f>
              <c:strCache>
                <c:ptCount val="1"/>
                <c:pt idx="0">
                  <c:v>National average</c:v>
                </c:pt>
              </c:strCache>
            </c:strRef>
          </c:tx>
          <c:invertIfNegative val="0"/>
          <c:cat>
            <c:strRef>
              <c:f>Sheet1!$A$2:$A$7</c:f>
              <c:strCache>
                <c:ptCount val="6"/>
                <c:pt idx="0">
                  <c:v>Disabled women</c:v>
                </c:pt>
                <c:pt idx="1">
                  <c:v>Disabled men</c:v>
                </c:pt>
                <c:pt idx="2">
                  <c:v>Non-disabled women</c:v>
                </c:pt>
                <c:pt idx="3">
                  <c:v>Non-disabled men</c:v>
                </c:pt>
                <c:pt idx="4">
                  <c:v>Disabled total</c:v>
                </c:pt>
                <c:pt idx="5">
                  <c:v>Non-disabled total</c:v>
                </c:pt>
              </c:strCache>
            </c:strRef>
          </c:cat>
          <c:val>
            <c:numRef>
              <c:f>Sheet1!$C$2:$C$7</c:f>
              <c:numCache>
                <c:formatCode>0.0</c:formatCode>
                <c:ptCount val="6"/>
                <c:pt idx="0">
                  <c:v>27.13</c:v>
                </c:pt>
                <c:pt idx="1">
                  <c:v>39.700000000000003</c:v>
                </c:pt>
                <c:pt idx="2">
                  <c:v>59.2</c:v>
                </c:pt>
                <c:pt idx="3">
                  <c:v>88.86</c:v>
                </c:pt>
                <c:pt idx="4">
                  <c:v>33.86</c:v>
                </c:pt>
                <c:pt idx="5">
                  <c:v>74.239999999999995</c:v>
                </c:pt>
              </c:numCache>
            </c:numRef>
          </c:val>
          <c:extLst>
            <c:ext xmlns:c16="http://schemas.microsoft.com/office/drawing/2014/chart" uri="{C3380CC4-5D6E-409C-BE32-E72D297353CC}">
              <c16:uniqueId val="{00000001-B051-493A-9E21-45E73BE0D59B}"/>
            </c:ext>
          </c:extLst>
        </c:ser>
        <c:dLbls>
          <c:showLegendKey val="0"/>
          <c:showVal val="0"/>
          <c:showCatName val="0"/>
          <c:showSerName val="0"/>
          <c:showPercent val="0"/>
          <c:showBubbleSize val="0"/>
        </c:dLbls>
        <c:gapWidth val="150"/>
        <c:axId val="131416448"/>
        <c:axId val="131417984"/>
      </c:barChart>
      <c:catAx>
        <c:axId val="131416448"/>
        <c:scaling>
          <c:orientation val="minMax"/>
        </c:scaling>
        <c:delete val="0"/>
        <c:axPos val="b"/>
        <c:numFmt formatCode="General" sourceLinked="1"/>
        <c:majorTickMark val="none"/>
        <c:minorTickMark val="none"/>
        <c:tickLblPos val="nextTo"/>
        <c:crossAx val="131417984"/>
        <c:crosses val="autoZero"/>
        <c:auto val="1"/>
        <c:lblAlgn val="ctr"/>
        <c:lblOffset val="100"/>
        <c:noMultiLvlLbl val="0"/>
      </c:catAx>
      <c:valAx>
        <c:axId val="131417984"/>
        <c:scaling>
          <c:orientation val="minMax"/>
        </c:scaling>
        <c:delete val="0"/>
        <c:axPos val="l"/>
        <c:majorGridlines/>
        <c:title>
          <c:tx>
            <c:rich>
              <a:bodyPr/>
              <a:lstStyle/>
              <a:p>
                <a:pPr>
                  <a:defRPr/>
                </a:pPr>
                <a:r>
                  <a:rPr lang="en-GB"/>
                  <a:t>%</a:t>
                </a:r>
              </a:p>
            </c:rich>
          </c:tx>
          <c:overlay val="0"/>
        </c:title>
        <c:numFmt formatCode="0.0" sourceLinked="1"/>
        <c:majorTickMark val="none"/>
        <c:minorTickMark val="none"/>
        <c:tickLblPos val="nextTo"/>
        <c:crossAx val="131416448"/>
        <c:crosses val="autoZero"/>
        <c:crossBetween val="between"/>
      </c:valAx>
      <c:dTable>
        <c:showHorzBorder val="1"/>
        <c:showVertBorder val="1"/>
        <c:showOutline val="1"/>
        <c:showKeys val="1"/>
      </c:dTable>
    </c:plotArea>
    <c:plotVisOnly val="1"/>
    <c:dispBlanksAs val="gap"/>
    <c:showDLblsOverMax val="0"/>
  </c:chart>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Sheet1!$B$1</c:f>
              <c:strCache>
                <c:ptCount val="1"/>
                <c:pt idx="0">
                  <c:v>EU (disabled)</c:v>
                </c:pt>
              </c:strCache>
            </c:strRef>
          </c:tx>
          <c:cat>
            <c:strRef>
              <c:f>Sheet1!$A$2:$A$6</c:f>
              <c:strCache>
                <c:ptCount val="5"/>
                <c:pt idx="0">
                  <c:v>age 16-24*</c:v>
                </c:pt>
                <c:pt idx="1">
                  <c:v>age 25-34</c:v>
                </c:pt>
                <c:pt idx="2">
                  <c:v>age 35-44</c:v>
                </c:pt>
                <c:pt idx="3">
                  <c:v>age 45-54</c:v>
                </c:pt>
                <c:pt idx="4">
                  <c:v>age 55-64</c:v>
                </c:pt>
              </c:strCache>
            </c:strRef>
          </c:cat>
          <c:val>
            <c:numRef>
              <c:f>Sheet1!$B$2:$B$6</c:f>
              <c:numCache>
                <c:formatCode>0.0</c:formatCode>
                <c:ptCount val="5"/>
                <c:pt idx="0">
                  <c:v>34.923232999999996</c:v>
                </c:pt>
                <c:pt idx="1">
                  <c:v>71.102710000000002</c:v>
                </c:pt>
                <c:pt idx="2">
                  <c:v>74.089289000000008</c:v>
                </c:pt>
                <c:pt idx="3">
                  <c:v>68.997169999999997</c:v>
                </c:pt>
                <c:pt idx="4">
                  <c:v>44.581302000000001</c:v>
                </c:pt>
              </c:numCache>
            </c:numRef>
          </c:val>
          <c:smooth val="0"/>
          <c:extLst>
            <c:ext xmlns:c16="http://schemas.microsoft.com/office/drawing/2014/chart" uri="{C3380CC4-5D6E-409C-BE32-E72D297353CC}">
              <c16:uniqueId val="{00000000-8485-40BA-84C7-7468A22700CF}"/>
            </c:ext>
          </c:extLst>
        </c:ser>
        <c:ser>
          <c:idx val="1"/>
          <c:order val="1"/>
          <c:tx>
            <c:strRef>
              <c:f>Sheet1!$C$1</c:f>
              <c:strCache>
                <c:ptCount val="1"/>
                <c:pt idx="0">
                  <c:v>EU (non-disabled)</c:v>
                </c:pt>
              </c:strCache>
            </c:strRef>
          </c:tx>
          <c:cat>
            <c:strRef>
              <c:f>Sheet1!$A$2:$A$6</c:f>
              <c:strCache>
                <c:ptCount val="5"/>
                <c:pt idx="0">
                  <c:v>age 16-24*</c:v>
                </c:pt>
                <c:pt idx="1">
                  <c:v>age 25-34</c:v>
                </c:pt>
                <c:pt idx="2">
                  <c:v>age 35-44</c:v>
                </c:pt>
                <c:pt idx="3">
                  <c:v>age 45-54</c:v>
                </c:pt>
                <c:pt idx="4">
                  <c:v>age 55-64</c:v>
                </c:pt>
              </c:strCache>
            </c:strRef>
          </c:cat>
          <c:val>
            <c:numRef>
              <c:f>Sheet1!$C$2:$C$6</c:f>
              <c:numCache>
                <c:formatCode>0.0</c:formatCode>
                <c:ptCount val="5"/>
                <c:pt idx="0">
                  <c:v>38.221966000000002</c:v>
                </c:pt>
                <c:pt idx="1">
                  <c:v>85.751794000000004</c:v>
                </c:pt>
                <c:pt idx="2">
                  <c:v>92.013328999999999</c:v>
                </c:pt>
                <c:pt idx="3">
                  <c:v>91.649221999999995</c:v>
                </c:pt>
                <c:pt idx="4">
                  <c:v>67.752748999999994</c:v>
                </c:pt>
              </c:numCache>
            </c:numRef>
          </c:val>
          <c:smooth val="0"/>
          <c:extLst>
            <c:ext xmlns:c16="http://schemas.microsoft.com/office/drawing/2014/chart" uri="{C3380CC4-5D6E-409C-BE32-E72D297353CC}">
              <c16:uniqueId val="{00000001-8485-40BA-84C7-7468A22700CF}"/>
            </c:ext>
          </c:extLst>
        </c:ser>
        <c:ser>
          <c:idx val="2"/>
          <c:order val="2"/>
          <c:tx>
            <c:strRef>
              <c:f>Sheet1!$D$1</c:f>
              <c:strCache>
                <c:ptCount val="1"/>
                <c:pt idx="0">
                  <c:v>National (disabled)</c:v>
                </c:pt>
              </c:strCache>
            </c:strRef>
          </c:tx>
          <c:cat>
            <c:strRef>
              <c:f>Sheet1!$A$2:$A$6</c:f>
              <c:strCache>
                <c:ptCount val="5"/>
                <c:pt idx="0">
                  <c:v>age 16-24*</c:v>
                </c:pt>
                <c:pt idx="1">
                  <c:v>age 25-34</c:v>
                </c:pt>
                <c:pt idx="2">
                  <c:v>age 35-44</c:v>
                </c:pt>
                <c:pt idx="3">
                  <c:v>age 45-54</c:v>
                </c:pt>
                <c:pt idx="4">
                  <c:v>age 55-64</c:v>
                </c:pt>
              </c:strCache>
            </c:strRef>
          </c:cat>
          <c:val>
            <c:numRef>
              <c:f>Sheet1!$D$2:$D$6</c:f>
              <c:numCache>
                <c:formatCode>0.0</c:formatCode>
                <c:ptCount val="5"/>
                <c:pt idx="0">
                  <c:v>20.552446</c:v>
                </c:pt>
                <c:pt idx="1">
                  <c:v>37.072220999999999</c:v>
                </c:pt>
                <c:pt idx="2">
                  <c:v>51.346276999999994</c:v>
                </c:pt>
                <c:pt idx="3">
                  <c:v>46.472068</c:v>
                </c:pt>
                <c:pt idx="4">
                  <c:v>20.240763999999999</c:v>
                </c:pt>
              </c:numCache>
            </c:numRef>
          </c:val>
          <c:smooth val="0"/>
          <c:extLst>
            <c:ext xmlns:c16="http://schemas.microsoft.com/office/drawing/2014/chart" uri="{C3380CC4-5D6E-409C-BE32-E72D297353CC}">
              <c16:uniqueId val="{00000002-8485-40BA-84C7-7468A22700CF}"/>
            </c:ext>
          </c:extLst>
        </c:ser>
        <c:ser>
          <c:idx val="3"/>
          <c:order val="3"/>
          <c:tx>
            <c:strRef>
              <c:f>Sheet1!$E$1</c:f>
              <c:strCache>
                <c:ptCount val="1"/>
                <c:pt idx="0">
                  <c:v>National (non-disabled)</c:v>
                </c:pt>
              </c:strCache>
            </c:strRef>
          </c:tx>
          <c:cat>
            <c:strRef>
              <c:f>Sheet1!$A$2:$A$6</c:f>
              <c:strCache>
                <c:ptCount val="5"/>
                <c:pt idx="0">
                  <c:v>age 16-24*</c:v>
                </c:pt>
                <c:pt idx="1">
                  <c:v>age 25-34</c:v>
                </c:pt>
                <c:pt idx="2">
                  <c:v>age 35-44</c:v>
                </c:pt>
                <c:pt idx="3">
                  <c:v>age 45-54</c:v>
                </c:pt>
                <c:pt idx="4">
                  <c:v>age 55-64</c:v>
                </c:pt>
              </c:strCache>
            </c:strRef>
          </c:cat>
          <c:val>
            <c:numRef>
              <c:f>Sheet1!$E$2:$E$6</c:f>
              <c:numCache>
                <c:formatCode>0.0</c:formatCode>
                <c:ptCount val="5"/>
                <c:pt idx="0">
                  <c:v>53.565755000000003</c:v>
                </c:pt>
                <c:pt idx="1">
                  <c:v>87.889687999999992</c:v>
                </c:pt>
                <c:pt idx="2">
                  <c:v>83.358643000000001</c:v>
                </c:pt>
                <c:pt idx="3">
                  <c:v>74.818359000000001</c:v>
                </c:pt>
                <c:pt idx="4">
                  <c:v>44.861746000000004</c:v>
                </c:pt>
              </c:numCache>
            </c:numRef>
          </c:val>
          <c:smooth val="0"/>
          <c:extLst>
            <c:ext xmlns:c16="http://schemas.microsoft.com/office/drawing/2014/chart" uri="{C3380CC4-5D6E-409C-BE32-E72D297353CC}">
              <c16:uniqueId val="{00000003-8485-40BA-84C7-7468A22700CF}"/>
            </c:ext>
          </c:extLst>
        </c:ser>
        <c:dLbls>
          <c:showLegendKey val="0"/>
          <c:showVal val="0"/>
          <c:showCatName val="0"/>
          <c:showSerName val="0"/>
          <c:showPercent val="0"/>
          <c:showBubbleSize val="0"/>
        </c:dLbls>
        <c:marker val="1"/>
        <c:smooth val="0"/>
        <c:axId val="131462656"/>
        <c:axId val="131464192"/>
      </c:lineChart>
      <c:catAx>
        <c:axId val="131462656"/>
        <c:scaling>
          <c:orientation val="minMax"/>
        </c:scaling>
        <c:delete val="0"/>
        <c:axPos val="b"/>
        <c:numFmt formatCode="General" sourceLinked="1"/>
        <c:majorTickMark val="none"/>
        <c:minorTickMark val="none"/>
        <c:tickLblPos val="nextTo"/>
        <c:crossAx val="131464192"/>
        <c:crosses val="autoZero"/>
        <c:auto val="1"/>
        <c:lblAlgn val="ctr"/>
        <c:lblOffset val="100"/>
        <c:noMultiLvlLbl val="0"/>
      </c:catAx>
      <c:valAx>
        <c:axId val="131464192"/>
        <c:scaling>
          <c:orientation val="minMax"/>
        </c:scaling>
        <c:delete val="0"/>
        <c:axPos val="l"/>
        <c:majorGridlines/>
        <c:title>
          <c:tx>
            <c:rich>
              <a:bodyPr/>
              <a:lstStyle/>
              <a:p>
                <a:pPr>
                  <a:defRPr/>
                </a:pPr>
                <a:r>
                  <a:rPr lang="en-GB"/>
                  <a:t>%</a:t>
                </a:r>
              </a:p>
            </c:rich>
          </c:tx>
          <c:overlay val="0"/>
        </c:title>
        <c:numFmt formatCode="0.0" sourceLinked="1"/>
        <c:majorTickMark val="none"/>
        <c:minorTickMark val="none"/>
        <c:tickLblPos val="nextTo"/>
        <c:crossAx val="131462656"/>
        <c:crosses val="autoZero"/>
        <c:crossBetween val="between"/>
      </c:valAx>
      <c:dTable>
        <c:showHorzBorder val="1"/>
        <c:showVertBorder val="1"/>
        <c:showOutline val="1"/>
        <c:showKeys val="1"/>
      </c:dTable>
    </c:plotArea>
    <c:plotVisOnly val="1"/>
    <c:dispBlanksAs val="gap"/>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C905F2E2-A78E-4AC8-BE9C-CC3B247C6B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40</Pages>
  <Words>12875</Words>
  <Characters>70814</Characters>
  <Application>Microsoft Office Word</Application>
  <DocSecurity>0</DocSecurity>
  <Lines>590</Lines>
  <Paragraphs>167</Paragraphs>
  <ScaleCrop>false</ScaleCrop>
  <HeadingPairs>
    <vt:vector size="2" baseType="variant">
      <vt:variant>
        <vt:lpstr>Title</vt:lpstr>
      </vt:variant>
      <vt:variant>
        <vt:i4>1</vt:i4>
      </vt:variant>
    </vt:vector>
  </HeadingPairs>
  <TitlesOfParts>
    <vt:vector size="1" baseType="lpstr">
      <vt:lpstr/>
    </vt:vector>
  </TitlesOfParts>
  <Company>University of Leeds</Company>
  <LinksUpToDate>false</LinksUpToDate>
  <CharactersWithSpaces>83522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Beresford [ss10jfbb]</dc:creator>
  <cp:lastModifiedBy>Rebecca van Midden</cp:lastModifiedBy>
  <cp:revision>3</cp:revision>
  <cp:lastPrinted>2015-09-17T08:54:00Z</cp:lastPrinted>
  <dcterms:created xsi:type="dcterms:W3CDTF">2019-03-05T15:53:00Z</dcterms:created>
  <dcterms:modified xsi:type="dcterms:W3CDTF">2019-03-05T16:01:00Z</dcterms:modified>
</cp:coreProperties>
</file>